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20"/>
        <w:jc w:val="center"/>
      </w:pPr>
      <w:r>
        <w:drawing>
          <wp:inline xmlns:a="http://schemas.openxmlformats.org/drawingml/2006/main" xmlns:pic="http://schemas.openxmlformats.org/drawingml/2006/picture">
            <wp:extent cx="6035040" cy="192505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Logo-La-boite-outil-du-restaurateur-1-2-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19250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rPr>
          <w:rFonts w:ascii="Aptos Display" w:hAnsi="Aptos Display"/>
          <w:b/>
          <w:i w:val="0"/>
          <w:color w:val="000000"/>
          <w:sz w:val="58"/>
        </w:rPr>
        <w:t>Autodiagnostic hygiène et organisation du PMS</w:t>
      </w:r>
    </w:p>
    <w:p>
      <w:pPr>
        <w:spacing w:after="400"/>
        <w:jc w:val="center"/>
      </w:pPr>
      <w:r>
        <w:rPr>
          <w:rFonts w:ascii="Aptos" w:hAnsi="Aptos"/>
          <w:b w:val="0"/>
          <w:i w:val="0"/>
          <w:color w:val="062A54"/>
          <w:sz w:val="28"/>
        </w:rPr>
        <w:t>Évaluer les pratiques et définir les priorités de mise à niveau</w:t>
      </w:r>
    </w:p>
    <w:p>
      <w:pPr>
        <w:jc w:val="center"/>
      </w:pPr>
      <w:r>
        <w:rPr>
          <w:rFonts w:ascii="Aptos" w:hAnsi="Aptos"/>
          <w:b/>
          <w:i w:val="0"/>
          <w:color w:val="F15A24"/>
          <w:sz w:val="21"/>
        </w:rPr>
        <w:t>RESSOURCE GRATUITE  •  ÉDITION 2026</w:t>
      </w:r>
    </w:p>
    <w:p>
      <w:pPr>
        <w:spacing w:before="900"/>
        <w:jc w:val="center"/>
      </w:pPr>
      <w:r>
        <w:rPr>
          <w:rFonts w:ascii="Aptos" w:hAnsi="Aptos"/>
          <w:b/>
          <w:i w:val="0"/>
          <w:color w:val="F15A24"/>
          <w:sz w:val="23"/>
        </w:rPr>
        <w:t>boiteaoutilsrestaurateur.fr</w:t>
      </w:r>
    </w:p>
    <w:p>
      <w:r>
        <w:br w:type="page"/>
      </w:r>
    </w:p>
    <w:p>
      <w:pPr>
        <w:pStyle w:val="Heading1"/>
      </w:pPr>
      <w:r>
        <w:t>Mode d emploi</w:t>
      </w:r>
    </w:p>
    <w:p>
      <w:r>
        <w:t>Pour chaque affirmation, attribuez 0 point si la pratique est absente, 1 point si elle est partiellement appliquée et 2 points si elle est en place et vérifiable. Cet outil aide à organiser un contrôle interne. Il ne remplace pas un audit réglementaire ni les exigences adaptées à votre activité.</w:t>
      </w:r>
    </w:p>
    <w:p>
      <w:pPr>
        <w:pStyle w:val="Heading2"/>
      </w:pPr>
      <w:r>
        <w:t>Barème</w:t>
      </w:r>
    </w:p>
    <w:p>
      <w:r>
        <w:t>0  Absent ou non maîtrisé     1  Partiellement en place     2  En place et vérifiable</w:t>
      </w:r>
    </w:p>
    <w:p>
      <w:pPr>
        <w:pStyle w:val="Heading2"/>
      </w:pPr>
      <w:r>
        <w:t>Documents et responsabilités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70"/>
        <w:gridCol w:w="2570"/>
        <w:gridCol w:w="2570"/>
        <w:gridCol w:w="2570"/>
      </w:tblGrid>
      <w:tr>
        <w:trPr>
          <w:tblHeader w:val="true"/>
        </w:trPr>
        <w:tc>
          <w:tcPr>
            <w:tcW w:type="dxa" w:w="2570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N°</w:t>
            </w:r>
          </w:p>
        </w:tc>
        <w:tc>
          <w:tcPr>
            <w:tcW w:type="dxa" w:w="2570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Affirmation</w:t>
            </w:r>
          </w:p>
        </w:tc>
        <w:tc>
          <w:tcPr>
            <w:tcW w:type="dxa" w:w="2570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Score</w:t>
            </w:r>
          </w:p>
        </w:tc>
        <w:tc>
          <w:tcPr>
            <w:tcW w:type="dxa" w:w="2570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Action nécessaire</w:t>
            </w:r>
          </w:p>
        </w:tc>
      </w:tr>
      <w:tr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1</w:t>
            </w:r>
          </w:p>
        </w:tc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Le PMS est disponible et adapté à l’établissement</w:t>
            </w:r>
          </w:p>
        </w:tc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0  1  2</w:t>
            </w:r>
          </w:p>
        </w:tc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2</w:t>
            </w:r>
          </w:p>
        </w:tc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Les responsabilités de contrôle sont attribuées</w:t>
            </w:r>
          </w:p>
        </w:tc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0  1  2</w:t>
            </w:r>
          </w:p>
        </w:tc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3</w:t>
            </w:r>
          </w:p>
        </w:tc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Les enregistrements sont classés et retrouvables</w:t>
            </w:r>
          </w:p>
        </w:tc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0  1  2</w:t>
            </w:r>
          </w:p>
        </w:tc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4</w:t>
            </w:r>
          </w:p>
        </w:tc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Les actions correctives sont suivies jusqu’à leur clôture</w:t>
            </w:r>
          </w:p>
        </w:tc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0  1  2</w:t>
            </w:r>
          </w:p>
        </w:tc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</w:p>
        </w:tc>
      </w:tr>
    </w:tbl>
    <w:p>
      <w:pPr>
        <w:pStyle w:val="Heading2"/>
      </w:pPr>
      <w:r>
        <w:t>Personnel et hygiène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70"/>
        <w:gridCol w:w="2570"/>
        <w:gridCol w:w="2570"/>
        <w:gridCol w:w="2570"/>
      </w:tblGrid>
      <w:tr>
        <w:trPr>
          <w:tblHeader w:val="true"/>
        </w:trPr>
        <w:tc>
          <w:tcPr>
            <w:tcW w:type="dxa" w:w="2570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N°</w:t>
            </w:r>
          </w:p>
        </w:tc>
        <w:tc>
          <w:tcPr>
            <w:tcW w:type="dxa" w:w="2570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Affirmation</w:t>
            </w:r>
          </w:p>
        </w:tc>
        <w:tc>
          <w:tcPr>
            <w:tcW w:type="dxa" w:w="2570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Score</w:t>
            </w:r>
          </w:p>
        </w:tc>
        <w:tc>
          <w:tcPr>
            <w:tcW w:type="dxa" w:w="2570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Action nécessaire</w:t>
            </w:r>
          </w:p>
        </w:tc>
      </w:tr>
      <w:tr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5</w:t>
            </w:r>
          </w:p>
        </w:tc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Les règles de tenue et d’hygiène des mains sont connues</w:t>
            </w:r>
          </w:p>
        </w:tc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0  1  2</w:t>
            </w:r>
          </w:p>
        </w:tc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6</w:t>
            </w:r>
          </w:p>
        </w:tc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Les nouveaux collaborateurs reçoivent les consignes utiles</w:t>
            </w:r>
          </w:p>
        </w:tc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0  1  2</w:t>
            </w:r>
          </w:p>
        </w:tc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7</w:t>
            </w:r>
          </w:p>
        </w:tc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Les situations de maladie ou de blessure sont gérées selon une règle définie</w:t>
            </w:r>
          </w:p>
        </w:tc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0  1  2</w:t>
            </w:r>
          </w:p>
        </w:tc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8</w:t>
            </w:r>
          </w:p>
        </w:tc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Les formations et rappels sont tracés</w:t>
            </w:r>
          </w:p>
        </w:tc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0  1  2</w:t>
            </w:r>
          </w:p>
        </w:tc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</w:p>
        </w:tc>
      </w:tr>
    </w:tbl>
    <w:p>
      <w:r>
        <w:br w:type="page"/>
      </w:r>
    </w:p>
    <w:p>
      <w:pPr>
        <w:pStyle w:val="Heading2"/>
      </w:pPr>
      <w:r>
        <w:t>Réception et stockage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70"/>
        <w:gridCol w:w="2570"/>
        <w:gridCol w:w="2570"/>
        <w:gridCol w:w="2570"/>
      </w:tblGrid>
      <w:tr>
        <w:trPr>
          <w:tblHeader w:val="true"/>
        </w:trPr>
        <w:tc>
          <w:tcPr>
            <w:tcW w:type="dxa" w:w="2570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N°</w:t>
            </w:r>
          </w:p>
        </w:tc>
        <w:tc>
          <w:tcPr>
            <w:tcW w:type="dxa" w:w="2570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Affirmation</w:t>
            </w:r>
          </w:p>
        </w:tc>
        <w:tc>
          <w:tcPr>
            <w:tcW w:type="dxa" w:w="2570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Score</w:t>
            </w:r>
          </w:p>
        </w:tc>
        <w:tc>
          <w:tcPr>
            <w:tcW w:type="dxa" w:w="2570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Action nécessaire</w:t>
            </w:r>
          </w:p>
        </w:tc>
      </w:tr>
      <w:tr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9</w:t>
            </w:r>
          </w:p>
        </w:tc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La réception des marchandises fait l’objet de contrôles</w:t>
            </w:r>
          </w:p>
        </w:tc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0  1  2</w:t>
            </w:r>
          </w:p>
        </w:tc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10</w:t>
            </w:r>
          </w:p>
        </w:tc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Les températures prévues sont relevées et enregistrées</w:t>
            </w:r>
          </w:p>
        </w:tc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0  1  2</w:t>
            </w:r>
          </w:p>
        </w:tc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11</w:t>
            </w:r>
          </w:p>
        </w:tc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Les denrées sont identifiées avec des dates compréhensibles</w:t>
            </w:r>
          </w:p>
        </w:tc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0  1  2</w:t>
            </w:r>
          </w:p>
        </w:tc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12</w:t>
            </w:r>
          </w:p>
        </w:tc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Les produits sont rangés pour limiter les contaminations croisées</w:t>
            </w:r>
          </w:p>
        </w:tc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0  1  2</w:t>
            </w:r>
          </w:p>
        </w:tc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</w:p>
        </w:tc>
      </w:tr>
    </w:tbl>
    <w:p>
      <w:pPr>
        <w:pStyle w:val="Heading2"/>
      </w:pPr>
      <w:r>
        <w:t>Production et températures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70"/>
        <w:gridCol w:w="2570"/>
        <w:gridCol w:w="2570"/>
        <w:gridCol w:w="2570"/>
      </w:tblGrid>
      <w:tr>
        <w:trPr>
          <w:tblHeader w:val="true"/>
        </w:trPr>
        <w:tc>
          <w:tcPr>
            <w:tcW w:type="dxa" w:w="2570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N°</w:t>
            </w:r>
          </w:p>
        </w:tc>
        <w:tc>
          <w:tcPr>
            <w:tcW w:type="dxa" w:w="2570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Affirmation</w:t>
            </w:r>
          </w:p>
        </w:tc>
        <w:tc>
          <w:tcPr>
            <w:tcW w:type="dxa" w:w="2570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Score</w:t>
            </w:r>
          </w:p>
        </w:tc>
        <w:tc>
          <w:tcPr>
            <w:tcW w:type="dxa" w:w="2570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Action nécessaire</w:t>
            </w:r>
          </w:p>
        </w:tc>
      </w:tr>
      <w:tr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13</w:t>
            </w:r>
          </w:p>
        </w:tc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Les étapes sensibles de préparation sont identifiées</w:t>
            </w:r>
          </w:p>
        </w:tc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0  1  2</w:t>
            </w:r>
          </w:p>
        </w:tc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14</w:t>
            </w:r>
          </w:p>
        </w:tc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Les refroidissements et remises en température sont maîtrisés lorsqu’ils existent</w:t>
            </w:r>
          </w:p>
        </w:tc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0  1  2</w:t>
            </w:r>
          </w:p>
        </w:tc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15</w:t>
            </w:r>
          </w:p>
        </w:tc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Les appareils de mesure sont disponibles et vérifiés</w:t>
            </w:r>
          </w:p>
        </w:tc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0  1  2</w:t>
            </w:r>
          </w:p>
        </w:tc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16</w:t>
            </w:r>
          </w:p>
        </w:tc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Les écarts de température déclenchent une décision documentée</w:t>
            </w:r>
          </w:p>
        </w:tc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0  1  2</w:t>
            </w:r>
          </w:p>
        </w:tc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</w:p>
        </w:tc>
      </w:tr>
    </w:tbl>
    <w:p>
      <w:r>
        <w:br w:type="page"/>
      </w:r>
    </w:p>
    <w:p>
      <w:pPr>
        <w:pStyle w:val="Heading2"/>
      </w:pPr>
      <w:r>
        <w:t>Nettoyage et nuisibles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70"/>
        <w:gridCol w:w="2570"/>
        <w:gridCol w:w="2570"/>
        <w:gridCol w:w="2570"/>
      </w:tblGrid>
      <w:tr>
        <w:trPr>
          <w:tblHeader w:val="true"/>
        </w:trPr>
        <w:tc>
          <w:tcPr>
            <w:tcW w:type="dxa" w:w="2570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N°</w:t>
            </w:r>
          </w:p>
        </w:tc>
        <w:tc>
          <w:tcPr>
            <w:tcW w:type="dxa" w:w="2570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Affirmation</w:t>
            </w:r>
          </w:p>
        </w:tc>
        <w:tc>
          <w:tcPr>
            <w:tcW w:type="dxa" w:w="2570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Score</w:t>
            </w:r>
          </w:p>
        </w:tc>
        <w:tc>
          <w:tcPr>
            <w:tcW w:type="dxa" w:w="2570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Action nécessaire</w:t>
            </w:r>
          </w:p>
        </w:tc>
      </w:tr>
      <w:tr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17</w:t>
            </w:r>
          </w:p>
        </w:tc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Le plan de nettoyage précise quoi faire quand et avec quel produit</w:t>
            </w:r>
          </w:p>
        </w:tc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0  1  2</w:t>
            </w:r>
          </w:p>
        </w:tc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18</w:t>
            </w:r>
          </w:p>
        </w:tc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Les produits de nettoyage sont identifiés et stockés à part</w:t>
            </w:r>
          </w:p>
        </w:tc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0  1  2</w:t>
            </w:r>
          </w:p>
        </w:tc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19</w:t>
            </w:r>
          </w:p>
        </w:tc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La réalisation des opérations importantes est contrôlée</w:t>
            </w:r>
          </w:p>
        </w:tc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0  1  2</w:t>
            </w:r>
          </w:p>
        </w:tc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20</w:t>
            </w:r>
          </w:p>
        </w:tc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Les indices de nuisibles sont surveillés et traités</w:t>
            </w:r>
          </w:p>
        </w:tc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0  1  2</w:t>
            </w:r>
          </w:p>
        </w:tc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</w:p>
        </w:tc>
      </w:tr>
    </w:tbl>
    <w:p>
      <w:pPr>
        <w:pStyle w:val="Heading2"/>
      </w:pPr>
      <w:r>
        <w:t>Allergènes et traçabilité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70"/>
        <w:gridCol w:w="2570"/>
        <w:gridCol w:w="2570"/>
        <w:gridCol w:w="2570"/>
      </w:tblGrid>
      <w:tr>
        <w:trPr>
          <w:tblHeader w:val="true"/>
        </w:trPr>
        <w:tc>
          <w:tcPr>
            <w:tcW w:type="dxa" w:w="2570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N°</w:t>
            </w:r>
          </w:p>
        </w:tc>
        <w:tc>
          <w:tcPr>
            <w:tcW w:type="dxa" w:w="2570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Affirmation</w:t>
            </w:r>
          </w:p>
        </w:tc>
        <w:tc>
          <w:tcPr>
            <w:tcW w:type="dxa" w:w="2570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Score</w:t>
            </w:r>
          </w:p>
        </w:tc>
        <w:tc>
          <w:tcPr>
            <w:tcW w:type="dxa" w:w="2570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FFFFFF"/>
                <w:sz w:val="18"/>
              </w:rPr>
              <w:t>Action nécessaire</w:t>
            </w:r>
          </w:p>
        </w:tc>
      </w:tr>
      <w:tr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21</w:t>
            </w:r>
          </w:p>
        </w:tc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Les informations sur les allergènes sont disponibles et actualisées</w:t>
            </w:r>
          </w:p>
        </w:tc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0  1  2</w:t>
            </w:r>
          </w:p>
        </w:tc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22</w:t>
            </w:r>
          </w:p>
        </w:tc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L’équipe sait répondre ou vérifier avant de répondre au client</w:t>
            </w:r>
          </w:p>
        </w:tc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0  1  2</w:t>
            </w:r>
          </w:p>
        </w:tc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23</w:t>
            </w:r>
          </w:p>
        </w:tc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La traçabilité des produits est organisée et retrouvable</w:t>
            </w:r>
          </w:p>
        </w:tc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0  1  2</w:t>
            </w:r>
          </w:p>
        </w:tc>
        <w:tc>
          <w:tcPr>
            <w:tcW w:type="dxa" w:w="257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24</w:t>
            </w:r>
          </w:p>
        </w:tc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Une procédure existe pour retirer ou isoler un produit non conforme</w:t>
            </w:r>
          </w:p>
        </w:tc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0  1  2</w:t>
            </w:r>
          </w:p>
        </w:tc>
        <w:tc>
          <w:tcPr>
            <w:tcW w:type="dxa" w:w="2570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Résultat et plan d action</w:t>
      </w:r>
    </w:p>
    <w:p>
      <w:r>
        <w:t>Score obtenu : __________ / 48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91"/>
        <w:gridCol w:w="7315"/>
        <w:gridCol w:w="2131"/>
      </w:tblGrid>
      <w:tr>
        <w:trPr>
          <w:tblHeader w:val="true"/>
        </w:trPr>
        <w:tc>
          <w:tcPr>
            <w:tcW w:type="dxa" w:w="3427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OK</w:t>
            </w:r>
          </w:p>
        </w:tc>
        <w:tc>
          <w:tcPr>
            <w:tcW w:type="dxa" w:w="3427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Point à contrôler</w:t>
            </w:r>
          </w:p>
        </w:tc>
        <w:tc>
          <w:tcPr>
            <w:tcW w:type="dxa" w:w="3427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Observation</w:t>
            </w:r>
          </w:p>
        </w:tc>
      </w:tr>
      <w:tr>
        <w:tc>
          <w:tcPr>
            <w:tcW w:type="dxa" w:w="69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0 à 16  Priorités immédiates à définir</w:t>
            </w:r>
          </w:p>
        </w:tc>
        <w:tc>
          <w:tcPr>
            <w:tcW w:type="dxa" w:w="213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17 à 32  Plusieurs pratiques doivent être consolidées</w:t>
            </w:r>
          </w:p>
        </w:tc>
        <w:tc>
          <w:tcPr>
            <w:tcW w:type="dxa" w:w="213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33 à 42  Organisation globalement en place avec des points à améliorer</w:t>
            </w:r>
          </w:p>
        </w:tc>
        <w:tc>
          <w:tcPr>
            <w:tcW w:type="dxa" w:w="213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43 à 48  Pratiques bien structurées à maintenir et à vérifier régulièrement</w:t>
            </w:r>
          </w:p>
        </w:tc>
        <w:tc>
          <w:tcPr>
            <w:tcW w:type="dxa" w:w="213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</w:tbl>
    <w:p>
      <w:pPr>
        <w:pStyle w:val="Heading2"/>
      </w:pPr>
      <w:r>
        <w:t>Mes trois actions prioritaires</w:t>
      </w:r>
    </w:p>
    <w:p>
      <w:r>
        <w:t>1. Action : ____________________________________ Responsable : __________________ Échéance : __________</w:t>
      </w:r>
    </w:p>
    <w:p>
      <w:r>
        <w:t>2. Action : ____________________________________ Responsable : __________________ Échéance : __________</w:t>
      </w:r>
    </w:p>
    <w:p>
      <w:r>
        <w:t>3. Action : ____________________________________ Responsable : __________________ Échéance : __________</w:t>
      </w:r>
    </w:p>
    <w:p>
      <w:r>
        <w:t>Date du prochain autodiagnostic : ____________________</w:t>
      </w:r>
    </w:p>
    <w:sectPr w:rsidR="00FC693F" w:rsidRPr="0006063C" w:rsidSect="00034616">
      <w:footerReference w:type="default" r:id="rId10"/>
      <w:pgSz w:w="12240" w:h="15840"/>
      <w:pgMar w:top="864" w:right="979" w:bottom="893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5A6470"/>
        <w:sz w:val="16"/>
      </w:rPr>
      <w:t>La Boîte à Outils du Restaurateur   •   boiteaoutilsrestaurateur.fr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18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Autodiagnostic hygiène et organisation du PMS</dc:title>
  <dc:subject/>
  <dc:creator>La Boîte à Outils du Restaurateur</dc:creator>
  <cp:keywords/>
  <dc:description>Édition 2026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