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520"/>
        <w:jc w:val="center"/>
      </w:pPr>
      <w:r>
        <w:drawing>
          <wp:inline xmlns:a="http://schemas.openxmlformats.org/drawingml/2006/main" xmlns:pic="http://schemas.openxmlformats.org/drawingml/2006/picture">
            <wp:extent cx="6035040" cy="1925053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04-Logo-La-boite-outil-du-restaurateur-1-2-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035040" cy="1925053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Title"/>
        <w:jc w:val="center"/>
      </w:pPr>
      <w:r>
        <w:rPr>
          <w:rFonts w:ascii="Aptos Display" w:hAnsi="Aptos Display"/>
          <w:b/>
          <w:i w:val="0"/>
          <w:color w:val="000000"/>
          <w:sz w:val="58"/>
        </w:rPr>
        <w:t>Checklist de visite avant la reprise d un restaurant</w:t>
      </w:r>
    </w:p>
    <w:p>
      <w:pPr>
        <w:spacing w:after="400"/>
        <w:jc w:val="center"/>
      </w:pPr>
      <w:r>
        <w:rPr>
          <w:rFonts w:ascii="Aptos" w:hAnsi="Aptos"/>
          <w:b w:val="0"/>
          <w:i w:val="0"/>
          <w:color w:val="062A54"/>
          <w:sz w:val="28"/>
        </w:rPr>
        <w:t>Les points à observer et les documents à demander avant de décider</w:t>
      </w:r>
    </w:p>
    <w:p>
      <w:pPr>
        <w:jc w:val="center"/>
      </w:pPr>
      <w:r>
        <w:rPr>
          <w:rFonts w:ascii="Aptos" w:hAnsi="Aptos"/>
          <w:b/>
          <w:i w:val="0"/>
          <w:color w:val="F15A24"/>
          <w:sz w:val="21"/>
        </w:rPr>
        <w:t>RESSOURCE GRATUITE  •  ÉDITION 2026</w:t>
      </w:r>
    </w:p>
    <w:p>
      <w:pPr>
        <w:spacing w:before="900"/>
        <w:jc w:val="center"/>
      </w:pPr>
      <w:r>
        <w:rPr>
          <w:rFonts w:ascii="Aptos" w:hAnsi="Aptos"/>
          <w:b/>
          <w:i w:val="0"/>
          <w:color w:val="F15A24"/>
          <w:sz w:val="23"/>
        </w:rPr>
        <w:t>boiteaoutilsrestaurateur.fr</w:t>
      </w:r>
    </w:p>
    <w:p>
      <w:r>
        <w:br w:type="page"/>
      </w:r>
    </w:p>
    <w:p>
      <w:pPr>
        <w:pStyle w:val="Heading1"/>
      </w:pPr>
      <w:r>
        <w:t>Mode d emploi</w:t>
      </w:r>
    </w:p>
    <w:p>
      <w:r>
        <w:t>Utilisez cette checklist pendant les visites et les échanges avec le vendeur. Notez les faits, demandez les justificatifs et distinguez ce qui a été vérifié de ce qui reste déclaré. Faites valider les aspects juridiques, sociaux, comptables, fiscaux et techniques par les professionnels compétents avant tout engagement.</w:t>
      </w:r>
    </w:p>
    <w:p>
      <w:pPr>
        <w:pStyle w:val="Heading2"/>
      </w:pPr>
      <w:r>
        <w:t>Informations sur le dossier</w:t>
      </w:r>
    </w:p>
    <w:p>
      <w:r>
        <w:t>Établissement : __________________________ Adresse : ______________________________________________</w:t>
      </w:r>
    </w:p>
    <w:p>
      <w:r>
        <w:t>Date de visite : ________________________ Interlocuteur : __________________________________________</w:t>
      </w:r>
    </w:p>
    <w:p>
      <w:pPr>
        <w:pStyle w:val="Heading2"/>
      </w:pPr>
      <w:r>
        <w:t>Emplacement et clientèle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691"/>
        <w:gridCol w:w="7315"/>
        <w:gridCol w:w="2131"/>
      </w:tblGrid>
      <w:tr>
        <w:trPr>
          <w:tblHeader w:val="true"/>
        </w:trPr>
        <w:tc>
          <w:tcPr>
            <w:tcW w:type="dxa" w:w="3427"/>
            <w:shd w:fill="062A54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  <w:insideH w:val="single" w:sz="5" w:color="D9D9D9"/>
              <w:insideV w:val="single" w:sz="5" w:color="D9D9D9"/>
            </w:tcBorders>
            <w:tcMar>
              <w:top w:w="95" w:type="dxa"/>
              <w:start w:w="110" w:type="dxa"/>
              <w:bottom w:w="95" w:type="dxa"/>
              <w:end w:w="110" w:type="dxa"/>
            </w:tcMar>
            <w:vAlign w:val="center"/>
          </w:tcPr>
          <w:p>
            <w:pPr>
              <w:spacing w:line="240" w:lineRule="auto"/>
              <w:jc w:val="center"/>
            </w:pPr>
            <w:r>
              <w:rPr>
                <w:rFonts w:ascii="Aptos" w:hAnsi="Aptos"/>
                <w:b/>
                <w:i w:val="0"/>
                <w:color w:val="FFFFFF"/>
                <w:sz w:val="20"/>
              </w:rPr>
              <w:t>OK</w:t>
            </w:r>
          </w:p>
        </w:tc>
        <w:tc>
          <w:tcPr>
            <w:tcW w:type="dxa" w:w="3427"/>
            <w:shd w:fill="062A54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  <w:insideH w:val="single" w:sz="5" w:color="D9D9D9"/>
              <w:insideV w:val="single" w:sz="5" w:color="D9D9D9"/>
            </w:tcBorders>
            <w:tcMar>
              <w:top w:w="95" w:type="dxa"/>
              <w:start w:w="110" w:type="dxa"/>
              <w:bottom w:w="95" w:type="dxa"/>
              <w:end w:w="110" w:type="dxa"/>
            </w:tcMar>
            <w:vAlign w:val="center"/>
          </w:tcPr>
          <w:p>
            <w:pPr>
              <w:spacing w:line="240" w:lineRule="auto"/>
              <w:jc w:val="center"/>
            </w:pPr>
            <w:r>
              <w:rPr>
                <w:rFonts w:ascii="Aptos" w:hAnsi="Aptos"/>
                <w:b/>
                <w:i w:val="0"/>
                <w:color w:val="FFFFFF"/>
                <w:sz w:val="20"/>
              </w:rPr>
              <w:t>Point à contrôler</w:t>
            </w:r>
          </w:p>
        </w:tc>
        <w:tc>
          <w:tcPr>
            <w:tcW w:type="dxa" w:w="3427"/>
            <w:shd w:fill="062A54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  <w:insideH w:val="single" w:sz="5" w:color="D9D9D9"/>
              <w:insideV w:val="single" w:sz="5" w:color="D9D9D9"/>
            </w:tcBorders>
            <w:tcMar>
              <w:top w:w="95" w:type="dxa"/>
              <w:start w:w="110" w:type="dxa"/>
              <w:bottom w:w="95" w:type="dxa"/>
              <w:end w:w="110" w:type="dxa"/>
            </w:tcMar>
            <w:vAlign w:val="center"/>
          </w:tcPr>
          <w:p>
            <w:pPr>
              <w:spacing w:line="240" w:lineRule="auto"/>
              <w:jc w:val="center"/>
            </w:pPr>
            <w:r>
              <w:rPr>
                <w:rFonts w:ascii="Aptos" w:hAnsi="Aptos"/>
                <w:b/>
                <w:i w:val="0"/>
                <w:color w:val="FFFFFF"/>
                <w:sz w:val="20"/>
              </w:rPr>
              <w:t>Observation</w:t>
            </w:r>
          </w:p>
        </w:tc>
      </w:tr>
      <w:tr>
        <w:tc>
          <w:tcPr>
            <w:tcW w:type="dxa" w:w="691"/>
            <w:shd w:fill="FFFFFF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  <w:insideH w:val="single" w:sz="5" w:color="D9D9D9"/>
              <w:insideV w:val="single" w:sz="5" w:color="D9D9D9"/>
            </w:tcBorders>
            <w:tcMar>
              <w:top w:w="95" w:type="dxa"/>
              <w:start w:w="110" w:type="dxa"/>
              <w:bottom w:w="95" w:type="dxa"/>
              <w:end w:w="110" w:type="dxa"/>
            </w:tcMar>
            <w:vAlign w:val="center"/>
          </w:tcPr>
          <w:p>
            <w:pPr>
              <w:spacing w:line="360" w:lineRule="auto"/>
              <w:jc w:val="center"/>
            </w:pPr>
            <w:r>
              <w:rPr>
                <w:rFonts w:ascii="Aptos" w:hAnsi="Aptos"/>
                <w:b w:val="0"/>
                <w:i w:val="0"/>
                <w:color w:val="000000"/>
                <w:sz w:val="24"/>
              </w:rPr>
              <w:t>☐</w:t>
            </w:r>
          </w:p>
        </w:tc>
        <w:tc>
          <w:tcPr>
            <w:tcW w:type="dxa" w:w="7315"/>
            <w:shd w:fill="FFFFFF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  <w:insideH w:val="single" w:sz="5" w:color="D9D9D9"/>
              <w:insideV w:val="single" w:sz="5" w:color="D9D9D9"/>
            </w:tcBorders>
            <w:tcMar>
              <w:top w:w="95" w:type="dxa"/>
              <w:start w:w="110" w:type="dxa"/>
              <w:bottom w:w="95" w:type="dxa"/>
              <w:end w:w="110" w:type="dxa"/>
            </w:tcMar>
            <w:vAlign w:val="center"/>
          </w:tcPr>
          <w:p>
            <w:pPr>
              <w:spacing w:line="360" w:lineRule="auto"/>
            </w:pPr>
            <w:r>
              <w:rPr>
                <w:rFonts w:ascii="Aptos" w:hAnsi="Aptos"/>
                <w:b w:val="0"/>
                <w:i w:val="0"/>
                <w:color w:val="000000"/>
                <w:sz w:val="22"/>
              </w:rPr>
              <w:t>Observer les flux piétons et véhicules aux horaires utiles</w:t>
            </w:r>
          </w:p>
        </w:tc>
        <w:tc>
          <w:tcPr>
            <w:tcW w:type="dxa" w:w="2131"/>
            <w:shd w:fill="FFFFFF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  <w:insideH w:val="single" w:sz="5" w:color="D9D9D9"/>
              <w:insideV w:val="single" w:sz="5" w:color="D9D9D9"/>
            </w:tcBorders>
            <w:tcMar>
              <w:top w:w="95" w:type="dxa"/>
              <w:start w:w="110" w:type="dxa"/>
              <w:bottom w:w="95" w:type="dxa"/>
              <w:end w:w="110" w:type="dxa"/>
            </w:tcMar>
            <w:vAlign w:val="center"/>
          </w:tcPr>
          <w:p>
            <w:pPr>
              <w:spacing w:line="360" w:lineRule="auto"/>
              <w:jc w:val="center"/>
            </w:pPr>
            <w:r>
              <w:rPr>
                <w:rFonts w:ascii="Aptos" w:hAnsi="Aptos"/>
                <w:b w:val="0"/>
                <w:i w:val="0"/>
                <w:color w:val="000000"/>
                <w:sz w:val="22"/>
              </w:rPr>
            </w:r>
          </w:p>
        </w:tc>
      </w:tr>
      <w:tr>
        <w:tc>
          <w:tcPr>
            <w:tcW w:type="dxa" w:w="691"/>
            <w:shd w:fill="EEF3F8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  <w:insideH w:val="single" w:sz="5" w:color="D9D9D9"/>
              <w:insideV w:val="single" w:sz="5" w:color="D9D9D9"/>
            </w:tcBorders>
            <w:tcMar>
              <w:top w:w="95" w:type="dxa"/>
              <w:start w:w="110" w:type="dxa"/>
              <w:bottom w:w="95" w:type="dxa"/>
              <w:end w:w="110" w:type="dxa"/>
            </w:tcMar>
            <w:vAlign w:val="center"/>
          </w:tcPr>
          <w:p>
            <w:pPr>
              <w:spacing w:line="360" w:lineRule="auto"/>
              <w:jc w:val="center"/>
            </w:pPr>
            <w:r>
              <w:rPr>
                <w:rFonts w:ascii="Aptos" w:hAnsi="Aptos"/>
                <w:b w:val="0"/>
                <w:i w:val="0"/>
                <w:color w:val="000000"/>
                <w:sz w:val="24"/>
              </w:rPr>
              <w:t>☐</w:t>
            </w:r>
          </w:p>
        </w:tc>
        <w:tc>
          <w:tcPr>
            <w:tcW w:type="dxa" w:w="7315"/>
            <w:shd w:fill="EEF3F8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  <w:insideH w:val="single" w:sz="5" w:color="D9D9D9"/>
              <w:insideV w:val="single" w:sz="5" w:color="D9D9D9"/>
            </w:tcBorders>
            <w:tcMar>
              <w:top w:w="95" w:type="dxa"/>
              <w:start w:w="110" w:type="dxa"/>
              <w:bottom w:w="95" w:type="dxa"/>
              <w:end w:w="110" w:type="dxa"/>
            </w:tcMar>
            <w:vAlign w:val="center"/>
          </w:tcPr>
          <w:p>
            <w:pPr>
              <w:spacing w:line="360" w:lineRule="auto"/>
            </w:pPr>
            <w:r>
              <w:rPr>
                <w:rFonts w:ascii="Aptos" w:hAnsi="Aptos"/>
                <w:b w:val="0"/>
                <w:i w:val="0"/>
                <w:color w:val="000000"/>
                <w:sz w:val="22"/>
              </w:rPr>
              <w:t>Identifier les générateurs de clientèle et la saisonnalité</w:t>
            </w:r>
          </w:p>
        </w:tc>
        <w:tc>
          <w:tcPr>
            <w:tcW w:type="dxa" w:w="2131"/>
            <w:shd w:fill="EEF3F8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  <w:insideH w:val="single" w:sz="5" w:color="D9D9D9"/>
              <w:insideV w:val="single" w:sz="5" w:color="D9D9D9"/>
            </w:tcBorders>
            <w:tcMar>
              <w:top w:w="95" w:type="dxa"/>
              <w:start w:w="110" w:type="dxa"/>
              <w:bottom w:w="95" w:type="dxa"/>
              <w:end w:w="110" w:type="dxa"/>
            </w:tcMar>
            <w:vAlign w:val="center"/>
          </w:tcPr>
          <w:p>
            <w:pPr>
              <w:spacing w:line="360" w:lineRule="auto"/>
              <w:jc w:val="center"/>
            </w:pPr>
            <w:r>
              <w:rPr>
                <w:rFonts w:ascii="Aptos" w:hAnsi="Aptos"/>
                <w:b w:val="0"/>
                <w:i w:val="0"/>
                <w:color w:val="000000"/>
                <w:sz w:val="22"/>
              </w:rPr>
            </w:r>
          </w:p>
        </w:tc>
      </w:tr>
      <w:tr>
        <w:tc>
          <w:tcPr>
            <w:tcW w:type="dxa" w:w="691"/>
            <w:shd w:fill="FFFFFF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  <w:insideH w:val="single" w:sz="5" w:color="D9D9D9"/>
              <w:insideV w:val="single" w:sz="5" w:color="D9D9D9"/>
            </w:tcBorders>
            <w:tcMar>
              <w:top w:w="95" w:type="dxa"/>
              <w:start w:w="110" w:type="dxa"/>
              <w:bottom w:w="95" w:type="dxa"/>
              <w:end w:w="110" w:type="dxa"/>
            </w:tcMar>
            <w:vAlign w:val="center"/>
          </w:tcPr>
          <w:p>
            <w:pPr>
              <w:spacing w:line="360" w:lineRule="auto"/>
              <w:jc w:val="center"/>
            </w:pPr>
            <w:r>
              <w:rPr>
                <w:rFonts w:ascii="Aptos" w:hAnsi="Aptos"/>
                <w:b w:val="0"/>
                <w:i w:val="0"/>
                <w:color w:val="000000"/>
                <w:sz w:val="24"/>
              </w:rPr>
              <w:t>☐</w:t>
            </w:r>
          </w:p>
        </w:tc>
        <w:tc>
          <w:tcPr>
            <w:tcW w:type="dxa" w:w="7315"/>
            <w:shd w:fill="FFFFFF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  <w:insideH w:val="single" w:sz="5" w:color="D9D9D9"/>
              <w:insideV w:val="single" w:sz="5" w:color="D9D9D9"/>
            </w:tcBorders>
            <w:tcMar>
              <w:top w:w="95" w:type="dxa"/>
              <w:start w:w="110" w:type="dxa"/>
              <w:bottom w:w="95" w:type="dxa"/>
              <w:end w:w="110" w:type="dxa"/>
            </w:tcMar>
            <w:vAlign w:val="center"/>
          </w:tcPr>
          <w:p>
            <w:pPr>
              <w:spacing w:line="360" w:lineRule="auto"/>
            </w:pPr>
            <w:r>
              <w:rPr>
                <w:rFonts w:ascii="Aptos" w:hAnsi="Aptos"/>
                <w:b w:val="0"/>
                <w:i w:val="0"/>
                <w:color w:val="000000"/>
                <w:sz w:val="22"/>
              </w:rPr>
              <w:t>Repérer les contraintes d’accès, de livraison et de stationnement</w:t>
            </w:r>
          </w:p>
        </w:tc>
        <w:tc>
          <w:tcPr>
            <w:tcW w:type="dxa" w:w="2131"/>
            <w:shd w:fill="FFFFFF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  <w:insideH w:val="single" w:sz="5" w:color="D9D9D9"/>
              <w:insideV w:val="single" w:sz="5" w:color="D9D9D9"/>
            </w:tcBorders>
            <w:tcMar>
              <w:top w:w="95" w:type="dxa"/>
              <w:start w:w="110" w:type="dxa"/>
              <w:bottom w:w="95" w:type="dxa"/>
              <w:end w:w="110" w:type="dxa"/>
            </w:tcMar>
            <w:vAlign w:val="center"/>
          </w:tcPr>
          <w:p>
            <w:pPr>
              <w:spacing w:line="360" w:lineRule="auto"/>
              <w:jc w:val="center"/>
            </w:pPr>
            <w:r>
              <w:rPr>
                <w:rFonts w:ascii="Aptos" w:hAnsi="Aptos"/>
                <w:b w:val="0"/>
                <w:i w:val="0"/>
                <w:color w:val="000000"/>
                <w:sz w:val="22"/>
              </w:rPr>
            </w:r>
          </w:p>
        </w:tc>
      </w:tr>
      <w:tr>
        <w:tc>
          <w:tcPr>
            <w:tcW w:type="dxa" w:w="691"/>
            <w:shd w:fill="EEF3F8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  <w:insideH w:val="single" w:sz="5" w:color="D9D9D9"/>
              <w:insideV w:val="single" w:sz="5" w:color="D9D9D9"/>
            </w:tcBorders>
            <w:tcMar>
              <w:top w:w="95" w:type="dxa"/>
              <w:start w:w="110" w:type="dxa"/>
              <w:bottom w:w="95" w:type="dxa"/>
              <w:end w:w="110" w:type="dxa"/>
            </w:tcMar>
            <w:vAlign w:val="center"/>
          </w:tcPr>
          <w:p>
            <w:pPr>
              <w:spacing w:line="360" w:lineRule="auto"/>
              <w:jc w:val="center"/>
            </w:pPr>
            <w:r>
              <w:rPr>
                <w:rFonts w:ascii="Aptos" w:hAnsi="Aptos"/>
                <w:b w:val="0"/>
                <w:i w:val="0"/>
                <w:color w:val="000000"/>
                <w:sz w:val="24"/>
              </w:rPr>
              <w:t>☐</w:t>
            </w:r>
          </w:p>
        </w:tc>
        <w:tc>
          <w:tcPr>
            <w:tcW w:type="dxa" w:w="7315"/>
            <w:shd w:fill="EEF3F8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  <w:insideH w:val="single" w:sz="5" w:color="D9D9D9"/>
              <w:insideV w:val="single" w:sz="5" w:color="D9D9D9"/>
            </w:tcBorders>
            <w:tcMar>
              <w:top w:w="95" w:type="dxa"/>
              <w:start w:w="110" w:type="dxa"/>
              <w:bottom w:w="95" w:type="dxa"/>
              <w:end w:w="110" w:type="dxa"/>
            </w:tcMar>
            <w:vAlign w:val="center"/>
          </w:tcPr>
          <w:p>
            <w:pPr>
              <w:spacing w:line="360" w:lineRule="auto"/>
            </w:pPr>
            <w:r>
              <w:rPr>
                <w:rFonts w:ascii="Aptos" w:hAnsi="Aptos"/>
                <w:b w:val="0"/>
                <w:i w:val="0"/>
                <w:color w:val="000000"/>
                <w:sz w:val="22"/>
              </w:rPr>
              <w:t>Vérifier la visibilité de la façade et de l’enseigne</w:t>
            </w:r>
          </w:p>
        </w:tc>
        <w:tc>
          <w:tcPr>
            <w:tcW w:type="dxa" w:w="2131"/>
            <w:shd w:fill="EEF3F8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  <w:insideH w:val="single" w:sz="5" w:color="D9D9D9"/>
              <w:insideV w:val="single" w:sz="5" w:color="D9D9D9"/>
            </w:tcBorders>
            <w:tcMar>
              <w:top w:w="95" w:type="dxa"/>
              <w:start w:w="110" w:type="dxa"/>
              <w:bottom w:w="95" w:type="dxa"/>
              <w:end w:w="110" w:type="dxa"/>
            </w:tcMar>
            <w:vAlign w:val="center"/>
          </w:tcPr>
          <w:p>
            <w:pPr>
              <w:spacing w:line="360" w:lineRule="auto"/>
              <w:jc w:val="center"/>
            </w:pPr>
            <w:r>
              <w:rPr>
                <w:rFonts w:ascii="Aptos" w:hAnsi="Aptos"/>
                <w:b w:val="0"/>
                <w:i w:val="0"/>
                <w:color w:val="000000"/>
                <w:sz w:val="22"/>
              </w:rPr>
            </w:r>
          </w:p>
        </w:tc>
      </w:tr>
      <w:tr>
        <w:tc>
          <w:tcPr>
            <w:tcW w:type="dxa" w:w="691"/>
            <w:shd w:fill="FFFFFF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  <w:insideH w:val="single" w:sz="5" w:color="D9D9D9"/>
              <w:insideV w:val="single" w:sz="5" w:color="D9D9D9"/>
            </w:tcBorders>
            <w:tcMar>
              <w:top w:w="95" w:type="dxa"/>
              <w:start w:w="110" w:type="dxa"/>
              <w:bottom w:w="95" w:type="dxa"/>
              <w:end w:w="110" w:type="dxa"/>
            </w:tcMar>
            <w:vAlign w:val="center"/>
          </w:tcPr>
          <w:p>
            <w:pPr>
              <w:spacing w:line="360" w:lineRule="auto"/>
              <w:jc w:val="center"/>
            </w:pPr>
            <w:r>
              <w:rPr>
                <w:rFonts w:ascii="Aptos" w:hAnsi="Aptos"/>
                <w:b w:val="0"/>
                <w:i w:val="0"/>
                <w:color w:val="000000"/>
                <w:sz w:val="24"/>
              </w:rPr>
              <w:t>☐</w:t>
            </w:r>
          </w:p>
        </w:tc>
        <w:tc>
          <w:tcPr>
            <w:tcW w:type="dxa" w:w="7315"/>
            <w:shd w:fill="FFFFFF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  <w:insideH w:val="single" w:sz="5" w:color="D9D9D9"/>
              <w:insideV w:val="single" w:sz="5" w:color="D9D9D9"/>
            </w:tcBorders>
            <w:tcMar>
              <w:top w:w="95" w:type="dxa"/>
              <w:start w:w="110" w:type="dxa"/>
              <w:bottom w:w="95" w:type="dxa"/>
              <w:end w:w="110" w:type="dxa"/>
            </w:tcMar>
            <w:vAlign w:val="center"/>
          </w:tcPr>
          <w:p>
            <w:pPr>
              <w:spacing w:line="360" w:lineRule="auto"/>
            </w:pPr>
            <w:r>
              <w:rPr>
                <w:rFonts w:ascii="Aptos" w:hAnsi="Aptos"/>
                <w:b w:val="0"/>
                <w:i w:val="0"/>
                <w:color w:val="000000"/>
                <w:sz w:val="22"/>
              </w:rPr>
              <w:t>Comparer la clientèle observée avec le positionnement annoncé</w:t>
            </w:r>
          </w:p>
        </w:tc>
        <w:tc>
          <w:tcPr>
            <w:tcW w:type="dxa" w:w="2131"/>
            <w:shd w:fill="FFFFFF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  <w:insideH w:val="single" w:sz="5" w:color="D9D9D9"/>
              <w:insideV w:val="single" w:sz="5" w:color="D9D9D9"/>
            </w:tcBorders>
            <w:tcMar>
              <w:top w:w="95" w:type="dxa"/>
              <w:start w:w="110" w:type="dxa"/>
              <w:bottom w:w="95" w:type="dxa"/>
              <w:end w:w="110" w:type="dxa"/>
            </w:tcMar>
            <w:vAlign w:val="center"/>
          </w:tcPr>
          <w:p>
            <w:pPr>
              <w:spacing w:line="360" w:lineRule="auto"/>
              <w:jc w:val="center"/>
            </w:pPr>
            <w:r>
              <w:rPr>
                <w:rFonts w:ascii="Aptos" w:hAnsi="Aptos"/>
                <w:b w:val="0"/>
                <w:i w:val="0"/>
                <w:color w:val="000000"/>
                <w:sz w:val="22"/>
              </w:rPr>
            </w:r>
          </w:p>
        </w:tc>
      </w:tr>
    </w:tbl>
    <w:p>
      <w:pPr>
        <w:pStyle w:val="Heading2"/>
      </w:pPr>
      <w:r>
        <w:t>Locaux et équipements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691"/>
        <w:gridCol w:w="7315"/>
        <w:gridCol w:w="2131"/>
      </w:tblGrid>
      <w:tr>
        <w:trPr>
          <w:tblHeader w:val="true"/>
        </w:trPr>
        <w:tc>
          <w:tcPr>
            <w:tcW w:type="dxa" w:w="3427"/>
            <w:shd w:fill="062A54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  <w:insideH w:val="single" w:sz="5" w:color="D9D9D9"/>
              <w:insideV w:val="single" w:sz="5" w:color="D9D9D9"/>
            </w:tcBorders>
            <w:tcMar>
              <w:top w:w="95" w:type="dxa"/>
              <w:start w:w="110" w:type="dxa"/>
              <w:bottom w:w="95" w:type="dxa"/>
              <w:end w:w="110" w:type="dxa"/>
            </w:tcMar>
            <w:vAlign w:val="center"/>
          </w:tcPr>
          <w:p>
            <w:pPr>
              <w:spacing w:line="240" w:lineRule="auto"/>
              <w:jc w:val="center"/>
            </w:pPr>
            <w:r>
              <w:rPr>
                <w:rFonts w:ascii="Aptos" w:hAnsi="Aptos"/>
                <w:b/>
                <w:i w:val="0"/>
                <w:color w:val="FFFFFF"/>
                <w:sz w:val="20"/>
              </w:rPr>
              <w:t>OK</w:t>
            </w:r>
          </w:p>
        </w:tc>
        <w:tc>
          <w:tcPr>
            <w:tcW w:type="dxa" w:w="3427"/>
            <w:shd w:fill="062A54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  <w:insideH w:val="single" w:sz="5" w:color="D9D9D9"/>
              <w:insideV w:val="single" w:sz="5" w:color="D9D9D9"/>
            </w:tcBorders>
            <w:tcMar>
              <w:top w:w="95" w:type="dxa"/>
              <w:start w:w="110" w:type="dxa"/>
              <w:bottom w:w="95" w:type="dxa"/>
              <w:end w:w="110" w:type="dxa"/>
            </w:tcMar>
            <w:vAlign w:val="center"/>
          </w:tcPr>
          <w:p>
            <w:pPr>
              <w:spacing w:line="240" w:lineRule="auto"/>
              <w:jc w:val="center"/>
            </w:pPr>
            <w:r>
              <w:rPr>
                <w:rFonts w:ascii="Aptos" w:hAnsi="Aptos"/>
                <w:b/>
                <w:i w:val="0"/>
                <w:color w:val="FFFFFF"/>
                <w:sz w:val="20"/>
              </w:rPr>
              <w:t>Point à contrôler</w:t>
            </w:r>
          </w:p>
        </w:tc>
        <w:tc>
          <w:tcPr>
            <w:tcW w:type="dxa" w:w="3427"/>
            <w:shd w:fill="062A54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  <w:insideH w:val="single" w:sz="5" w:color="D9D9D9"/>
              <w:insideV w:val="single" w:sz="5" w:color="D9D9D9"/>
            </w:tcBorders>
            <w:tcMar>
              <w:top w:w="95" w:type="dxa"/>
              <w:start w:w="110" w:type="dxa"/>
              <w:bottom w:w="95" w:type="dxa"/>
              <w:end w:w="110" w:type="dxa"/>
            </w:tcMar>
            <w:vAlign w:val="center"/>
          </w:tcPr>
          <w:p>
            <w:pPr>
              <w:spacing w:line="240" w:lineRule="auto"/>
              <w:jc w:val="center"/>
            </w:pPr>
            <w:r>
              <w:rPr>
                <w:rFonts w:ascii="Aptos" w:hAnsi="Aptos"/>
                <w:b/>
                <w:i w:val="0"/>
                <w:color w:val="FFFFFF"/>
                <w:sz w:val="20"/>
              </w:rPr>
              <w:t>Observation</w:t>
            </w:r>
          </w:p>
        </w:tc>
      </w:tr>
      <w:tr>
        <w:tc>
          <w:tcPr>
            <w:tcW w:type="dxa" w:w="691"/>
            <w:shd w:fill="FFFFFF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  <w:insideH w:val="single" w:sz="5" w:color="D9D9D9"/>
              <w:insideV w:val="single" w:sz="5" w:color="D9D9D9"/>
            </w:tcBorders>
            <w:tcMar>
              <w:top w:w="95" w:type="dxa"/>
              <w:start w:w="110" w:type="dxa"/>
              <w:bottom w:w="95" w:type="dxa"/>
              <w:end w:w="110" w:type="dxa"/>
            </w:tcMar>
            <w:vAlign w:val="center"/>
          </w:tcPr>
          <w:p>
            <w:pPr>
              <w:spacing w:line="360" w:lineRule="auto"/>
              <w:jc w:val="center"/>
            </w:pPr>
            <w:r>
              <w:rPr>
                <w:rFonts w:ascii="Aptos" w:hAnsi="Aptos"/>
                <w:b w:val="0"/>
                <w:i w:val="0"/>
                <w:color w:val="000000"/>
                <w:sz w:val="24"/>
              </w:rPr>
              <w:t>☐</w:t>
            </w:r>
          </w:p>
        </w:tc>
        <w:tc>
          <w:tcPr>
            <w:tcW w:type="dxa" w:w="7315"/>
            <w:shd w:fill="FFFFFF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  <w:insideH w:val="single" w:sz="5" w:color="D9D9D9"/>
              <w:insideV w:val="single" w:sz="5" w:color="D9D9D9"/>
            </w:tcBorders>
            <w:tcMar>
              <w:top w:w="95" w:type="dxa"/>
              <w:start w:w="110" w:type="dxa"/>
              <w:bottom w:w="95" w:type="dxa"/>
              <w:end w:w="110" w:type="dxa"/>
            </w:tcMar>
            <w:vAlign w:val="center"/>
          </w:tcPr>
          <w:p>
            <w:pPr>
              <w:spacing w:line="360" w:lineRule="auto"/>
            </w:pPr>
            <w:r>
              <w:rPr>
                <w:rFonts w:ascii="Aptos" w:hAnsi="Aptos"/>
                <w:b w:val="0"/>
                <w:i w:val="0"/>
                <w:color w:val="000000"/>
                <w:sz w:val="22"/>
              </w:rPr>
              <w:t>Examiner l’état de la salle, de la cuisine, des réserves et des sanitaires</w:t>
            </w:r>
          </w:p>
        </w:tc>
        <w:tc>
          <w:tcPr>
            <w:tcW w:type="dxa" w:w="2131"/>
            <w:shd w:fill="FFFFFF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  <w:insideH w:val="single" w:sz="5" w:color="D9D9D9"/>
              <w:insideV w:val="single" w:sz="5" w:color="D9D9D9"/>
            </w:tcBorders>
            <w:tcMar>
              <w:top w:w="95" w:type="dxa"/>
              <w:start w:w="110" w:type="dxa"/>
              <w:bottom w:w="95" w:type="dxa"/>
              <w:end w:w="110" w:type="dxa"/>
            </w:tcMar>
            <w:vAlign w:val="center"/>
          </w:tcPr>
          <w:p>
            <w:pPr>
              <w:spacing w:line="360" w:lineRule="auto"/>
              <w:jc w:val="center"/>
            </w:pPr>
            <w:r>
              <w:rPr>
                <w:rFonts w:ascii="Aptos" w:hAnsi="Aptos"/>
                <w:b w:val="0"/>
                <w:i w:val="0"/>
                <w:color w:val="000000"/>
                <w:sz w:val="22"/>
              </w:rPr>
            </w:r>
          </w:p>
        </w:tc>
      </w:tr>
      <w:tr>
        <w:tc>
          <w:tcPr>
            <w:tcW w:type="dxa" w:w="691"/>
            <w:shd w:fill="EEF3F8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  <w:insideH w:val="single" w:sz="5" w:color="D9D9D9"/>
              <w:insideV w:val="single" w:sz="5" w:color="D9D9D9"/>
            </w:tcBorders>
            <w:tcMar>
              <w:top w:w="95" w:type="dxa"/>
              <w:start w:w="110" w:type="dxa"/>
              <w:bottom w:w="95" w:type="dxa"/>
              <w:end w:w="110" w:type="dxa"/>
            </w:tcMar>
            <w:vAlign w:val="center"/>
          </w:tcPr>
          <w:p>
            <w:pPr>
              <w:spacing w:line="360" w:lineRule="auto"/>
              <w:jc w:val="center"/>
            </w:pPr>
            <w:r>
              <w:rPr>
                <w:rFonts w:ascii="Aptos" w:hAnsi="Aptos"/>
                <w:b w:val="0"/>
                <w:i w:val="0"/>
                <w:color w:val="000000"/>
                <w:sz w:val="24"/>
              </w:rPr>
              <w:t>☐</w:t>
            </w:r>
          </w:p>
        </w:tc>
        <w:tc>
          <w:tcPr>
            <w:tcW w:type="dxa" w:w="7315"/>
            <w:shd w:fill="EEF3F8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  <w:insideH w:val="single" w:sz="5" w:color="D9D9D9"/>
              <w:insideV w:val="single" w:sz="5" w:color="D9D9D9"/>
            </w:tcBorders>
            <w:tcMar>
              <w:top w:w="95" w:type="dxa"/>
              <w:start w:w="110" w:type="dxa"/>
              <w:bottom w:w="95" w:type="dxa"/>
              <w:end w:w="110" w:type="dxa"/>
            </w:tcMar>
            <w:vAlign w:val="center"/>
          </w:tcPr>
          <w:p>
            <w:pPr>
              <w:spacing w:line="360" w:lineRule="auto"/>
            </w:pPr>
            <w:r>
              <w:rPr>
                <w:rFonts w:ascii="Aptos" w:hAnsi="Aptos"/>
                <w:b w:val="0"/>
                <w:i w:val="0"/>
                <w:color w:val="000000"/>
                <w:sz w:val="22"/>
              </w:rPr>
              <w:t>Relever la marque, l’âge apparent et l’état des équipements principaux</w:t>
            </w:r>
          </w:p>
        </w:tc>
        <w:tc>
          <w:tcPr>
            <w:tcW w:type="dxa" w:w="2131"/>
            <w:shd w:fill="EEF3F8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  <w:insideH w:val="single" w:sz="5" w:color="D9D9D9"/>
              <w:insideV w:val="single" w:sz="5" w:color="D9D9D9"/>
            </w:tcBorders>
            <w:tcMar>
              <w:top w:w="95" w:type="dxa"/>
              <w:start w:w="110" w:type="dxa"/>
              <w:bottom w:w="95" w:type="dxa"/>
              <w:end w:w="110" w:type="dxa"/>
            </w:tcMar>
            <w:vAlign w:val="center"/>
          </w:tcPr>
          <w:p>
            <w:pPr>
              <w:spacing w:line="360" w:lineRule="auto"/>
              <w:jc w:val="center"/>
            </w:pPr>
            <w:r>
              <w:rPr>
                <w:rFonts w:ascii="Aptos" w:hAnsi="Aptos"/>
                <w:b w:val="0"/>
                <w:i w:val="0"/>
                <w:color w:val="000000"/>
                <w:sz w:val="22"/>
              </w:rPr>
            </w:r>
          </w:p>
        </w:tc>
      </w:tr>
      <w:tr>
        <w:tc>
          <w:tcPr>
            <w:tcW w:type="dxa" w:w="691"/>
            <w:shd w:fill="FFFFFF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  <w:insideH w:val="single" w:sz="5" w:color="D9D9D9"/>
              <w:insideV w:val="single" w:sz="5" w:color="D9D9D9"/>
            </w:tcBorders>
            <w:tcMar>
              <w:top w:w="95" w:type="dxa"/>
              <w:start w:w="110" w:type="dxa"/>
              <w:bottom w:w="95" w:type="dxa"/>
              <w:end w:w="110" w:type="dxa"/>
            </w:tcMar>
            <w:vAlign w:val="center"/>
          </w:tcPr>
          <w:p>
            <w:pPr>
              <w:spacing w:line="360" w:lineRule="auto"/>
              <w:jc w:val="center"/>
            </w:pPr>
            <w:r>
              <w:rPr>
                <w:rFonts w:ascii="Aptos" w:hAnsi="Aptos"/>
                <w:b w:val="0"/>
                <w:i w:val="0"/>
                <w:color w:val="000000"/>
                <w:sz w:val="24"/>
              </w:rPr>
              <w:t>☐</w:t>
            </w:r>
          </w:p>
        </w:tc>
        <w:tc>
          <w:tcPr>
            <w:tcW w:type="dxa" w:w="7315"/>
            <w:shd w:fill="FFFFFF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  <w:insideH w:val="single" w:sz="5" w:color="D9D9D9"/>
              <w:insideV w:val="single" w:sz="5" w:color="D9D9D9"/>
            </w:tcBorders>
            <w:tcMar>
              <w:top w:w="95" w:type="dxa"/>
              <w:start w:w="110" w:type="dxa"/>
              <w:bottom w:w="95" w:type="dxa"/>
              <w:end w:w="110" w:type="dxa"/>
            </w:tcMar>
            <w:vAlign w:val="center"/>
          </w:tcPr>
          <w:p>
            <w:pPr>
              <w:spacing w:line="360" w:lineRule="auto"/>
            </w:pPr>
            <w:r>
              <w:rPr>
                <w:rFonts w:ascii="Aptos" w:hAnsi="Aptos"/>
                <w:b w:val="0"/>
                <w:i w:val="0"/>
                <w:color w:val="000000"/>
                <w:sz w:val="22"/>
              </w:rPr>
              <w:t>Demander les factures, contrats d’entretien et derniers contrôles disponibles</w:t>
            </w:r>
          </w:p>
        </w:tc>
        <w:tc>
          <w:tcPr>
            <w:tcW w:type="dxa" w:w="2131"/>
            <w:shd w:fill="FFFFFF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  <w:insideH w:val="single" w:sz="5" w:color="D9D9D9"/>
              <w:insideV w:val="single" w:sz="5" w:color="D9D9D9"/>
            </w:tcBorders>
            <w:tcMar>
              <w:top w:w="95" w:type="dxa"/>
              <w:start w:w="110" w:type="dxa"/>
              <w:bottom w:w="95" w:type="dxa"/>
              <w:end w:w="110" w:type="dxa"/>
            </w:tcMar>
            <w:vAlign w:val="center"/>
          </w:tcPr>
          <w:p>
            <w:pPr>
              <w:spacing w:line="360" w:lineRule="auto"/>
              <w:jc w:val="center"/>
            </w:pPr>
            <w:r>
              <w:rPr>
                <w:rFonts w:ascii="Aptos" w:hAnsi="Aptos"/>
                <w:b w:val="0"/>
                <w:i w:val="0"/>
                <w:color w:val="000000"/>
                <w:sz w:val="22"/>
              </w:rPr>
            </w:r>
          </w:p>
        </w:tc>
      </w:tr>
      <w:tr>
        <w:tc>
          <w:tcPr>
            <w:tcW w:type="dxa" w:w="691"/>
            <w:shd w:fill="EEF3F8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  <w:insideH w:val="single" w:sz="5" w:color="D9D9D9"/>
              <w:insideV w:val="single" w:sz="5" w:color="D9D9D9"/>
            </w:tcBorders>
            <w:tcMar>
              <w:top w:w="95" w:type="dxa"/>
              <w:start w:w="110" w:type="dxa"/>
              <w:bottom w:w="95" w:type="dxa"/>
              <w:end w:w="110" w:type="dxa"/>
            </w:tcMar>
            <w:vAlign w:val="center"/>
          </w:tcPr>
          <w:p>
            <w:pPr>
              <w:spacing w:line="360" w:lineRule="auto"/>
              <w:jc w:val="center"/>
            </w:pPr>
            <w:r>
              <w:rPr>
                <w:rFonts w:ascii="Aptos" w:hAnsi="Aptos"/>
                <w:b w:val="0"/>
                <w:i w:val="0"/>
                <w:color w:val="000000"/>
                <w:sz w:val="24"/>
              </w:rPr>
              <w:t>☐</w:t>
            </w:r>
          </w:p>
        </w:tc>
        <w:tc>
          <w:tcPr>
            <w:tcW w:type="dxa" w:w="7315"/>
            <w:shd w:fill="EEF3F8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  <w:insideH w:val="single" w:sz="5" w:color="D9D9D9"/>
              <w:insideV w:val="single" w:sz="5" w:color="D9D9D9"/>
            </w:tcBorders>
            <w:tcMar>
              <w:top w:w="95" w:type="dxa"/>
              <w:start w:w="110" w:type="dxa"/>
              <w:bottom w:w="95" w:type="dxa"/>
              <w:end w:w="110" w:type="dxa"/>
            </w:tcMar>
            <w:vAlign w:val="center"/>
          </w:tcPr>
          <w:p>
            <w:pPr>
              <w:spacing w:line="360" w:lineRule="auto"/>
            </w:pPr>
            <w:r>
              <w:rPr>
                <w:rFonts w:ascii="Aptos" w:hAnsi="Aptos"/>
                <w:b w:val="0"/>
                <w:i w:val="0"/>
                <w:color w:val="000000"/>
                <w:sz w:val="22"/>
              </w:rPr>
              <w:t>Repérer les travaux nécessaires et obtenir des estimations</w:t>
            </w:r>
          </w:p>
        </w:tc>
        <w:tc>
          <w:tcPr>
            <w:tcW w:type="dxa" w:w="2131"/>
            <w:shd w:fill="EEF3F8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  <w:insideH w:val="single" w:sz="5" w:color="D9D9D9"/>
              <w:insideV w:val="single" w:sz="5" w:color="D9D9D9"/>
            </w:tcBorders>
            <w:tcMar>
              <w:top w:w="95" w:type="dxa"/>
              <w:start w:w="110" w:type="dxa"/>
              <w:bottom w:w="95" w:type="dxa"/>
              <w:end w:w="110" w:type="dxa"/>
            </w:tcMar>
            <w:vAlign w:val="center"/>
          </w:tcPr>
          <w:p>
            <w:pPr>
              <w:spacing w:line="360" w:lineRule="auto"/>
              <w:jc w:val="center"/>
            </w:pPr>
            <w:r>
              <w:rPr>
                <w:rFonts w:ascii="Aptos" w:hAnsi="Aptos"/>
                <w:b w:val="0"/>
                <w:i w:val="0"/>
                <w:color w:val="000000"/>
                <w:sz w:val="22"/>
              </w:rPr>
            </w:r>
          </w:p>
        </w:tc>
      </w:tr>
      <w:tr>
        <w:tc>
          <w:tcPr>
            <w:tcW w:type="dxa" w:w="691"/>
            <w:shd w:fill="FFFFFF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  <w:insideH w:val="single" w:sz="5" w:color="D9D9D9"/>
              <w:insideV w:val="single" w:sz="5" w:color="D9D9D9"/>
            </w:tcBorders>
            <w:tcMar>
              <w:top w:w="95" w:type="dxa"/>
              <w:start w:w="110" w:type="dxa"/>
              <w:bottom w:w="95" w:type="dxa"/>
              <w:end w:w="110" w:type="dxa"/>
            </w:tcMar>
            <w:vAlign w:val="center"/>
          </w:tcPr>
          <w:p>
            <w:pPr>
              <w:spacing w:line="360" w:lineRule="auto"/>
              <w:jc w:val="center"/>
            </w:pPr>
            <w:r>
              <w:rPr>
                <w:rFonts w:ascii="Aptos" w:hAnsi="Aptos"/>
                <w:b w:val="0"/>
                <w:i w:val="0"/>
                <w:color w:val="000000"/>
                <w:sz w:val="24"/>
              </w:rPr>
              <w:t>☐</w:t>
            </w:r>
          </w:p>
        </w:tc>
        <w:tc>
          <w:tcPr>
            <w:tcW w:type="dxa" w:w="7315"/>
            <w:shd w:fill="FFFFFF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  <w:insideH w:val="single" w:sz="5" w:color="D9D9D9"/>
              <w:insideV w:val="single" w:sz="5" w:color="D9D9D9"/>
            </w:tcBorders>
            <w:tcMar>
              <w:top w:w="95" w:type="dxa"/>
              <w:start w:w="110" w:type="dxa"/>
              <w:bottom w:w="95" w:type="dxa"/>
              <w:end w:w="110" w:type="dxa"/>
            </w:tcMar>
            <w:vAlign w:val="center"/>
          </w:tcPr>
          <w:p>
            <w:pPr>
              <w:spacing w:line="360" w:lineRule="auto"/>
            </w:pPr>
            <w:r>
              <w:rPr>
                <w:rFonts w:ascii="Aptos" w:hAnsi="Aptos"/>
                <w:b w:val="0"/>
                <w:i w:val="0"/>
                <w:color w:val="000000"/>
                <w:sz w:val="22"/>
              </w:rPr>
              <w:t>Vérifier les capacités de stockage, de froid et d’extraction</w:t>
            </w:r>
          </w:p>
        </w:tc>
        <w:tc>
          <w:tcPr>
            <w:tcW w:type="dxa" w:w="2131"/>
            <w:shd w:fill="FFFFFF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  <w:insideH w:val="single" w:sz="5" w:color="D9D9D9"/>
              <w:insideV w:val="single" w:sz="5" w:color="D9D9D9"/>
            </w:tcBorders>
            <w:tcMar>
              <w:top w:w="95" w:type="dxa"/>
              <w:start w:w="110" w:type="dxa"/>
              <w:bottom w:w="95" w:type="dxa"/>
              <w:end w:w="110" w:type="dxa"/>
            </w:tcMar>
            <w:vAlign w:val="center"/>
          </w:tcPr>
          <w:p>
            <w:pPr>
              <w:spacing w:line="360" w:lineRule="auto"/>
              <w:jc w:val="center"/>
            </w:pPr>
            <w:r>
              <w:rPr>
                <w:rFonts w:ascii="Aptos" w:hAnsi="Aptos"/>
                <w:b w:val="0"/>
                <w:i w:val="0"/>
                <w:color w:val="000000"/>
                <w:sz w:val="22"/>
              </w:rPr>
            </w:r>
          </w:p>
        </w:tc>
      </w:tr>
    </w:tbl>
    <w:p>
      <w:r>
        <w:br w:type="page"/>
      </w:r>
    </w:p>
    <w:p>
      <w:pPr>
        <w:pStyle w:val="Heading2"/>
      </w:pPr>
      <w:r>
        <w:t>Hygiène et conformité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691"/>
        <w:gridCol w:w="7315"/>
        <w:gridCol w:w="2131"/>
      </w:tblGrid>
      <w:tr>
        <w:trPr>
          <w:tblHeader w:val="true"/>
        </w:trPr>
        <w:tc>
          <w:tcPr>
            <w:tcW w:type="dxa" w:w="3427"/>
            <w:shd w:fill="062A54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  <w:insideH w:val="single" w:sz="5" w:color="D9D9D9"/>
              <w:insideV w:val="single" w:sz="5" w:color="D9D9D9"/>
            </w:tcBorders>
            <w:tcMar>
              <w:top w:w="95" w:type="dxa"/>
              <w:start w:w="110" w:type="dxa"/>
              <w:bottom w:w="95" w:type="dxa"/>
              <w:end w:w="110" w:type="dxa"/>
            </w:tcMar>
            <w:vAlign w:val="center"/>
          </w:tcPr>
          <w:p>
            <w:pPr>
              <w:spacing w:line="240" w:lineRule="auto"/>
              <w:jc w:val="center"/>
            </w:pPr>
            <w:r>
              <w:rPr>
                <w:rFonts w:ascii="Aptos" w:hAnsi="Aptos"/>
                <w:b/>
                <w:i w:val="0"/>
                <w:color w:val="FFFFFF"/>
                <w:sz w:val="20"/>
              </w:rPr>
              <w:t>OK</w:t>
            </w:r>
          </w:p>
        </w:tc>
        <w:tc>
          <w:tcPr>
            <w:tcW w:type="dxa" w:w="3427"/>
            <w:shd w:fill="062A54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  <w:insideH w:val="single" w:sz="5" w:color="D9D9D9"/>
              <w:insideV w:val="single" w:sz="5" w:color="D9D9D9"/>
            </w:tcBorders>
            <w:tcMar>
              <w:top w:w="95" w:type="dxa"/>
              <w:start w:w="110" w:type="dxa"/>
              <w:bottom w:w="95" w:type="dxa"/>
              <w:end w:w="110" w:type="dxa"/>
            </w:tcMar>
            <w:vAlign w:val="center"/>
          </w:tcPr>
          <w:p>
            <w:pPr>
              <w:spacing w:line="240" w:lineRule="auto"/>
              <w:jc w:val="center"/>
            </w:pPr>
            <w:r>
              <w:rPr>
                <w:rFonts w:ascii="Aptos" w:hAnsi="Aptos"/>
                <w:b/>
                <w:i w:val="0"/>
                <w:color w:val="FFFFFF"/>
                <w:sz w:val="20"/>
              </w:rPr>
              <w:t>Point à contrôler</w:t>
            </w:r>
          </w:p>
        </w:tc>
        <w:tc>
          <w:tcPr>
            <w:tcW w:type="dxa" w:w="3427"/>
            <w:shd w:fill="062A54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  <w:insideH w:val="single" w:sz="5" w:color="D9D9D9"/>
              <w:insideV w:val="single" w:sz="5" w:color="D9D9D9"/>
            </w:tcBorders>
            <w:tcMar>
              <w:top w:w="95" w:type="dxa"/>
              <w:start w:w="110" w:type="dxa"/>
              <w:bottom w:w="95" w:type="dxa"/>
              <w:end w:w="110" w:type="dxa"/>
            </w:tcMar>
            <w:vAlign w:val="center"/>
          </w:tcPr>
          <w:p>
            <w:pPr>
              <w:spacing w:line="240" w:lineRule="auto"/>
              <w:jc w:val="center"/>
            </w:pPr>
            <w:r>
              <w:rPr>
                <w:rFonts w:ascii="Aptos" w:hAnsi="Aptos"/>
                <w:b/>
                <w:i w:val="0"/>
                <w:color w:val="FFFFFF"/>
                <w:sz w:val="20"/>
              </w:rPr>
              <w:t>Observation</w:t>
            </w:r>
          </w:p>
        </w:tc>
      </w:tr>
      <w:tr>
        <w:tc>
          <w:tcPr>
            <w:tcW w:type="dxa" w:w="691"/>
            <w:shd w:fill="FFFFFF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  <w:insideH w:val="single" w:sz="5" w:color="D9D9D9"/>
              <w:insideV w:val="single" w:sz="5" w:color="D9D9D9"/>
            </w:tcBorders>
            <w:tcMar>
              <w:top w:w="95" w:type="dxa"/>
              <w:start w:w="110" w:type="dxa"/>
              <w:bottom w:w="95" w:type="dxa"/>
              <w:end w:w="110" w:type="dxa"/>
            </w:tcMar>
            <w:vAlign w:val="center"/>
          </w:tcPr>
          <w:p>
            <w:pPr>
              <w:spacing w:line="360" w:lineRule="auto"/>
              <w:jc w:val="center"/>
            </w:pPr>
            <w:r>
              <w:rPr>
                <w:rFonts w:ascii="Aptos" w:hAnsi="Aptos"/>
                <w:b w:val="0"/>
                <w:i w:val="0"/>
                <w:color w:val="000000"/>
                <w:sz w:val="24"/>
              </w:rPr>
              <w:t>☐</w:t>
            </w:r>
          </w:p>
        </w:tc>
        <w:tc>
          <w:tcPr>
            <w:tcW w:type="dxa" w:w="7315"/>
            <w:shd w:fill="FFFFFF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  <w:insideH w:val="single" w:sz="5" w:color="D9D9D9"/>
              <w:insideV w:val="single" w:sz="5" w:color="D9D9D9"/>
            </w:tcBorders>
            <w:tcMar>
              <w:top w:w="95" w:type="dxa"/>
              <w:start w:w="110" w:type="dxa"/>
              <w:bottom w:w="95" w:type="dxa"/>
              <w:end w:w="110" w:type="dxa"/>
            </w:tcMar>
            <w:vAlign w:val="center"/>
          </w:tcPr>
          <w:p>
            <w:pPr>
              <w:spacing w:line="360" w:lineRule="auto"/>
            </w:pPr>
            <w:r>
              <w:rPr>
                <w:rFonts w:ascii="Aptos" w:hAnsi="Aptos"/>
                <w:b w:val="0"/>
                <w:i w:val="0"/>
                <w:color w:val="000000"/>
                <w:sz w:val="22"/>
              </w:rPr>
              <w:t>Demander le PMS et examiner les enregistrements récents</w:t>
            </w:r>
          </w:p>
        </w:tc>
        <w:tc>
          <w:tcPr>
            <w:tcW w:type="dxa" w:w="2131"/>
            <w:shd w:fill="FFFFFF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  <w:insideH w:val="single" w:sz="5" w:color="D9D9D9"/>
              <w:insideV w:val="single" w:sz="5" w:color="D9D9D9"/>
            </w:tcBorders>
            <w:tcMar>
              <w:top w:w="95" w:type="dxa"/>
              <w:start w:w="110" w:type="dxa"/>
              <w:bottom w:w="95" w:type="dxa"/>
              <w:end w:w="110" w:type="dxa"/>
            </w:tcMar>
            <w:vAlign w:val="center"/>
          </w:tcPr>
          <w:p>
            <w:pPr>
              <w:spacing w:line="360" w:lineRule="auto"/>
              <w:jc w:val="center"/>
            </w:pPr>
            <w:r>
              <w:rPr>
                <w:rFonts w:ascii="Aptos" w:hAnsi="Aptos"/>
                <w:b w:val="0"/>
                <w:i w:val="0"/>
                <w:color w:val="000000"/>
                <w:sz w:val="22"/>
              </w:rPr>
            </w:r>
          </w:p>
        </w:tc>
      </w:tr>
      <w:tr>
        <w:tc>
          <w:tcPr>
            <w:tcW w:type="dxa" w:w="691"/>
            <w:shd w:fill="EEF3F8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  <w:insideH w:val="single" w:sz="5" w:color="D9D9D9"/>
              <w:insideV w:val="single" w:sz="5" w:color="D9D9D9"/>
            </w:tcBorders>
            <w:tcMar>
              <w:top w:w="95" w:type="dxa"/>
              <w:start w:w="110" w:type="dxa"/>
              <w:bottom w:w="95" w:type="dxa"/>
              <w:end w:w="110" w:type="dxa"/>
            </w:tcMar>
            <w:vAlign w:val="center"/>
          </w:tcPr>
          <w:p>
            <w:pPr>
              <w:spacing w:line="360" w:lineRule="auto"/>
              <w:jc w:val="center"/>
            </w:pPr>
            <w:r>
              <w:rPr>
                <w:rFonts w:ascii="Aptos" w:hAnsi="Aptos"/>
                <w:b w:val="0"/>
                <w:i w:val="0"/>
                <w:color w:val="000000"/>
                <w:sz w:val="24"/>
              </w:rPr>
              <w:t>☐</w:t>
            </w:r>
          </w:p>
        </w:tc>
        <w:tc>
          <w:tcPr>
            <w:tcW w:type="dxa" w:w="7315"/>
            <w:shd w:fill="EEF3F8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  <w:insideH w:val="single" w:sz="5" w:color="D9D9D9"/>
              <w:insideV w:val="single" w:sz="5" w:color="D9D9D9"/>
            </w:tcBorders>
            <w:tcMar>
              <w:top w:w="95" w:type="dxa"/>
              <w:start w:w="110" w:type="dxa"/>
              <w:bottom w:w="95" w:type="dxa"/>
              <w:end w:w="110" w:type="dxa"/>
            </w:tcMar>
            <w:vAlign w:val="center"/>
          </w:tcPr>
          <w:p>
            <w:pPr>
              <w:spacing w:line="360" w:lineRule="auto"/>
            </w:pPr>
            <w:r>
              <w:rPr>
                <w:rFonts w:ascii="Aptos" w:hAnsi="Aptos"/>
                <w:b w:val="0"/>
                <w:i w:val="0"/>
                <w:color w:val="000000"/>
                <w:sz w:val="22"/>
              </w:rPr>
              <w:t>Observer la propreté, les circulations et les risques de contamination croisée</w:t>
            </w:r>
          </w:p>
        </w:tc>
        <w:tc>
          <w:tcPr>
            <w:tcW w:type="dxa" w:w="2131"/>
            <w:shd w:fill="EEF3F8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  <w:insideH w:val="single" w:sz="5" w:color="D9D9D9"/>
              <w:insideV w:val="single" w:sz="5" w:color="D9D9D9"/>
            </w:tcBorders>
            <w:tcMar>
              <w:top w:w="95" w:type="dxa"/>
              <w:start w:w="110" w:type="dxa"/>
              <w:bottom w:w="95" w:type="dxa"/>
              <w:end w:w="110" w:type="dxa"/>
            </w:tcMar>
            <w:vAlign w:val="center"/>
          </w:tcPr>
          <w:p>
            <w:pPr>
              <w:spacing w:line="360" w:lineRule="auto"/>
              <w:jc w:val="center"/>
            </w:pPr>
            <w:r>
              <w:rPr>
                <w:rFonts w:ascii="Aptos" w:hAnsi="Aptos"/>
                <w:b w:val="0"/>
                <w:i w:val="0"/>
                <w:color w:val="000000"/>
                <w:sz w:val="22"/>
              </w:rPr>
            </w:r>
          </w:p>
        </w:tc>
      </w:tr>
      <w:tr>
        <w:tc>
          <w:tcPr>
            <w:tcW w:type="dxa" w:w="691"/>
            <w:shd w:fill="FFFFFF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  <w:insideH w:val="single" w:sz="5" w:color="D9D9D9"/>
              <w:insideV w:val="single" w:sz="5" w:color="D9D9D9"/>
            </w:tcBorders>
            <w:tcMar>
              <w:top w:w="95" w:type="dxa"/>
              <w:start w:w="110" w:type="dxa"/>
              <w:bottom w:w="95" w:type="dxa"/>
              <w:end w:w="110" w:type="dxa"/>
            </w:tcMar>
            <w:vAlign w:val="center"/>
          </w:tcPr>
          <w:p>
            <w:pPr>
              <w:spacing w:line="360" w:lineRule="auto"/>
              <w:jc w:val="center"/>
            </w:pPr>
            <w:r>
              <w:rPr>
                <w:rFonts w:ascii="Aptos" w:hAnsi="Aptos"/>
                <w:b w:val="0"/>
                <w:i w:val="0"/>
                <w:color w:val="000000"/>
                <w:sz w:val="24"/>
              </w:rPr>
              <w:t>☐</w:t>
            </w:r>
          </w:p>
        </w:tc>
        <w:tc>
          <w:tcPr>
            <w:tcW w:type="dxa" w:w="7315"/>
            <w:shd w:fill="FFFFFF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  <w:insideH w:val="single" w:sz="5" w:color="D9D9D9"/>
              <w:insideV w:val="single" w:sz="5" w:color="D9D9D9"/>
            </w:tcBorders>
            <w:tcMar>
              <w:top w:w="95" w:type="dxa"/>
              <w:start w:w="110" w:type="dxa"/>
              <w:bottom w:w="95" w:type="dxa"/>
              <w:end w:w="110" w:type="dxa"/>
            </w:tcMar>
            <w:vAlign w:val="center"/>
          </w:tcPr>
          <w:p>
            <w:pPr>
              <w:spacing w:line="360" w:lineRule="auto"/>
            </w:pPr>
            <w:r>
              <w:rPr>
                <w:rFonts w:ascii="Aptos" w:hAnsi="Aptos"/>
                <w:b w:val="0"/>
                <w:i w:val="0"/>
                <w:color w:val="000000"/>
                <w:sz w:val="22"/>
              </w:rPr>
              <w:t>Demander les derniers rapports de contrôle ou interventions disponibles</w:t>
            </w:r>
          </w:p>
        </w:tc>
        <w:tc>
          <w:tcPr>
            <w:tcW w:type="dxa" w:w="2131"/>
            <w:shd w:fill="FFFFFF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  <w:insideH w:val="single" w:sz="5" w:color="D9D9D9"/>
              <w:insideV w:val="single" w:sz="5" w:color="D9D9D9"/>
            </w:tcBorders>
            <w:tcMar>
              <w:top w:w="95" w:type="dxa"/>
              <w:start w:w="110" w:type="dxa"/>
              <w:bottom w:w="95" w:type="dxa"/>
              <w:end w:w="110" w:type="dxa"/>
            </w:tcMar>
            <w:vAlign w:val="center"/>
          </w:tcPr>
          <w:p>
            <w:pPr>
              <w:spacing w:line="360" w:lineRule="auto"/>
              <w:jc w:val="center"/>
            </w:pPr>
            <w:r>
              <w:rPr>
                <w:rFonts w:ascii="Aptos" w:hAnsi="Aptos"/>
                <w:b w:val="0"/>
                <w:i w:val="0"/>
                <w:color w:val="000000"/>
                <w:sz w:val="22"/>
              </w:rPr>
            </w:r>
          </w:p>
        </w:tc>
      </w:tr>
      <w:tr>
        <w:tc>
          <w:tcPr>
            <w:tcW w:type="dxa" w:w="691"/>
            <w:shd w:fill="EEF3F8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  <w:insideH w:val="single" w:sz="5" w:color="D9D9D9"/>
              <w:insideV w:val="single" w:sz="5" w:color="D9D9D9"/>
            </w:tcBorders>
            <w:tcMar>
              <w:top w:w="95" w:type="dxa"/>
              <w:start w:w="110" w:type="dxa"/>
              <w:bottom w:w="95" w:type="dxa"/>
              <w:end w:w="110" w:type="dxa"/>
            </w:tcMar>
            <w:vAlign w:val="center"/>
          </w:tcPr>
          <w:p>
            <w:pPr>
              <w:spacing w:line="360" w:lineRule="auto"/>
              <w:jc w:val="center"/>
            </w:pPr>
            <w:r>
              <w:rPr>
                <w:rFonts w:ascii="Aptos" w:hAnsi="Aptos"/>
                <w:b w:val="0"/>
                <w:i w:val="0"/>
                <w:color w:val="000000"/>
                <w:sz w:val="24"/>
              </w:rPr>
              <w:t>☐</w:t>
            </w:r>
          </w:p>
        </w:tc>
        <w:tc>
          <w:tcPr>
            <w:tcW w:type="dxa" w:w="7315"/>
            <w:shd w:fill="EEF3F8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  <w:insideH w:val="single" w:sz="5" w:color="D9D9D9"/>
              <w:insideV w:val="single" w:sz="5" w:color="D9D9D9"/>
            </w:tcBorders>
            <w:tcMar>
              <w:top w:w="95" w:type="dxa"/>
              <w:start w:w="110" w:type="dxa"/>
              <w:bottom w:w="95" w:type="dxa"/>
              <w:end w:w="110" w:type="dxa"/>
            </w:tcMar>
            <w:vAlign w:val="center"/>
          </w:tcPr>
          <w:p>
            <w:pPr>
              <w:spacing w:line="360" w:lineRule="auto"/>
            </w:pPr>
            <w:r>
              <w:rPr>
                <w:rFonts w:ascii="Aptos" w:hAnsi="Aptos"/>
                <w:b w:val="0"/>
                <w:i w:val="0"/>
                <w:color w:val="000000"/>
                <w:sz w:val="22"/>
              </w:rPr>
              <w:t>Identifier les autorisations, licences et déclarations liées à l’activité</w:t>
            </w:r>
          </w:p>
        </w:tc>
        <w:tc>
          <w:tcPr>
            <w:tcW w:type="dxa" w:w="2131"/>
            <w:shd w:fill="EEF3F8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  <w:insideH w:val="single" w:sz="5" w:color="D9D9D9"/>
              <w:insideV w:val="single" w:sz="5" w:color="D9D9D9"/>
            </w:tcBorders>
            <w:tcMar>
              <w:top w:w="95" w:type="dxa"/>
              <w:start w:w="110" w:type="dxa"/>
              <w:bottom w:w="95" w:type="dxa"/>
              <w:end w:w="110" w:type="dxa"/>
            </w:tcMar>
            <w:vAlign w:val="center"/>
          </w:tcPr>
          <w:p>
            <w:pPr>
              <w:spacing w:line="360" w:lineRule="auto"/>
              <w:jc w:val="center"/>
            </w:pPr>
            <w:r>
              <w:rPr>
                <w:rFonts w:ascii="Aptos" w:hAnsi="Aptos"/>
                <w:b w:val="0"/>
                <w:i w:val="0"/>
                <w:color w:val="000000"/>
                <w:sz w:val="22"/>
              </w:rPr>
            </w:r>
          </w:p>
        </w:tc>
      </w:tr>
      <w:tr>
        <w:tc>
          <w:tcPr>
            <w:tcW w:type="dxa" w:w="691"/>
            <w:shd w:fill="FFFFFF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  <w:insideH w:val="single" w:sz="5" w:color="D9D9D9"/>
              <w:insideV w:val="single" w:sz="5" w:color="D9D9D9"/>
            </w:tcBorders>
            <w:tcMar>
              <w:top w:w="95" w:type="dxa"/>
              <w:start w:w="110" w:type="dxa"/>
              <w:bottom w:w="95" w:type="dxa"/>
              <w:end w:w="110" w:type="dxa"/>
            </w:tcMar>
            <w:vAlign w:val="center"/>
          </w:tcPr>
          <w:p>
            <w:pPr>
              <w:spacing w:line="360" w:lineRule="auto"/>
              <w:jc w:val="center"/>
            </w:pPr>
            <w:r>
              <w:rPr>
                <w:rFonts w:ascii="Aptos" w:hAnsi="Aptos"/>
                <w:b w:val="0"/>
                <w:i w:val="0"/>
                <w:color w:val="000000"/>
                <w:sz w:val="24"/>
              </w:rPr>
              <w:t>☐</w:t>
            </w:r>
          </w:p>
        </w:tc>
        <w:tc>
          <w:tcPr>
            <w:tcW w:type="dxa" w:w="7315"/>
            <w:shd w:fill="FFFFFF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  <w:insideH w:val="single" w:sz="5" w:color="D9D9D9"/>
              <w:insideV w:val="single" w:sz="5" w:color="D9D9D9"/>
            </w:tcBorders>
            <w:tcMar>
              <w:top w:w="95" w:type="dxa"/>
              <w:start w:w="110" w:type="dxa"/>
              <w:bottom w:w="95" w:type="dxa"/>
              <w:end w:w="110" w:type="dxa"/>
            </w:tcMar>
            <w:vAlign w:val="center"/>
          </w:tcPr>
          <w:p>
            <w:pPr>
              <w:spacing w:line="360" w:lineRule="auto"/>
            </w:pPr>
            <w:r>
              <w:rPr>
                <w:rFonts w:ascii="Aptos" w:hAnsi="Aptos"/>
                <w:b w:val="0"/>
                <w:i w:val="0"/>
                <w:color w:val="000000"/>
                <w:sz w:val="22"/>
              </w:rPr>
              <w:t>Faire vérifier l’accessibilité, la sécurité et la conformité des installations</w:t>
            </w:r>
          </w:p>
        </w:tc>
        <w:tc>
          <w:tcPr>
            <w:tcW w:type="dxa" w:w="2131"/>
            <w:shd w:fill="FFFFFF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  <w:insideH w:val="single" w:sz="5" w:color="D9D9D9"/>
              <w:insideV w:val="single" w:sz="5" w:color="D9D9D9"/>
            </w:tcBorders>
            <w:tcMar>
              <w:top w:w="95" w:type="dxa"/>
              <w:start w:w="110" w:type="dxa"/>
              <w:bottom w:w="95" w:type="dxa"/>
              <w:end w:w="110" w:type="dxa"/>
            </w:tcMar>
            <w:vAlign w:val="center"/>
          </w:tcPr>
          <w:p>
            <w:pPr>
              <w:spacing w:line="360" w:lineRule="auto"/>
              <w:jc w:val="center"/>
            </w:pPr>
            <w:r>
              <w:rPr>
                <w:rFonts w:ascii="Aptos" w:hAnsi="Aptos"/>
                <w:b w:val="0"/>
                <w:i w:val="0"/>
                <w:color w:val="000000"/>
                <w:sz w:val="22"/>
              </w:rPr>
            </w:r>
          </w:p>
        </w:tc>
      </w:tr>
    </w:tbl>
    <w:p>
      <w:pPr>
        <w:pStyle w:val="Heading2"/>
      </w:pPr>
      <w:r>
        <w:t>Activité et rentabilité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691"/>
        <w:gridCol w:w="7315"/>
        <w:gridCol w:w="2131"/>
      </w:tblGrid>
      <w:tr>
        <w:trPr>
          <w:tblHeader w:val="true"/>
        </w:trPr>
        <w:tc>
          <w:tcPr>
            <w:tcW w:type="dxa" w:w="3427"/>
            <w:shd w:fill="062A54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  <w:insideH w:val="single" w:sz="5" w:color="D9D9D9"/>
              <w:insideV w:val="single" w:sz="5" w:color="D9D9D9"/>
            </w:tcBorders>
            <w:tcMar>
              <w:top w:w="95" w:type="dxa"/>
              <w:start w:w="110" w:type="dxa"/>
              <w:bottom w:w="95" w:type="dxa"/>
              <w:end w:w="110" w:type="dxa"/>
            </w:tcMar>
            <w:vAlign w:val="center"/>
          </w:tcPr>
          <w:p>
            <w:pPr>
              <w:spacing w:line="240" w:lineRule="auto"/>
              <w:jc w:val="center"/>
            </w:pPr>
            <w:r>
              <w:rPr>
                <w:rFonts w:ascii="Aptos" w:hAnsi="Aptos"/>
                <w:b/>
                <w:i w:val="0"/>
                <w:color w:val="FFFFFF"/>
                <w:sz w:val="20"/>
              </w:rPr>
              <w:t>OK</w:t>
            </w:r>
          </w:p>
        </w:tc>
        <w:tc>
          <w:tcPr>
            <w:tcW w:type="dxa" w:w="3427"/>
            <w:shd w:fill="062A54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  <w:insideH w:val="single" w:sz="5" w:color="D9D9D9"/>
              <w:insideV w:val="single" w:sz="5" w:color="D9D9D9"/>
            </w:tcBorders>
            <w:tcMar>
              <w:top w:w="95" w:type="dxa"/>
              <w:start w:w="110" w:type="dxa"/>
              <w:bottom w:w="95" w:type="dxa"/>
              <w:end w:w="110" w:type="dxa"/>
            </w:tcMar>
            <w:vAlign w:val="center"/>
          </w:tcPr>
          <w:p>
            <w:pPr>
              <w:spacing w:line="240" w:lineRule="auto"/>
              <w:jc w:val="center"/>
            </w:pPr>
            <w:r>
              <w:rPr>
                <w:rFonts w:ascii="Aptos" w:hAnsi="Aptos"/>
                <w:b/>
                <w:i w:val="0"/>
                <w:color w:val="FFFFFF"/>
                <w:sz w:val="20"/>
              </w:rPr>
              <w:t>Point à contrôler</w:t>
            </w:r>
          </w:p>
        </w:tc>
        <w:tc>
          <w:tcPr>
            <w:tcW w:type="dxa" w:w="3427"/>
            <w:shd w:fill="062A54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  <w:insideH w:val="single" w:sz="5" w:color="D9D9D9"/>
              <w:insideV w:val="single" w:sz="5" w:color="D9D9D9"/>
            </w:tcBorders>
            <w:tcMar>
              <w:top w:w="95" w:type="dxa"/>
              <w:start w:w="110" w:type="dxa"/>
              <w:bottom w:w="95" w:type="dxa"/>
              <w:end w:w="110" w:type="dxa"/>
            </w:tcMar>
            <w:vAlign w:val="center"/>
          </w:tcPr>
          <w:p>
            <w:pPr>
              <w:spacing w:line="240" w:lineRule="auto"/>
              <w:jc w:val="center"/>
            </w:pPr>
            <w:r>
              <w:rPr>
                <w:rFonts w:ascii="Aptos" w:hAnsi="Aptos"/>
                <w:b/>
                <w:i w:val="0"/>
                <w:color w:val="FFFFFF"/>
                <w:sz w:val="20"/>
              </w:rPr>
              <w:t>Observation</w:t>
            </w:r>
          </w:p>
        </w:tc>
      </w:tr>
      <w:tr>
        <w:tc>
          <w:tcPr>
            <w:tcW w:type="dxa" w:w="691"/>
            <w:shd w:fill="FFFFFF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  <w:insideH w:val="single" w:sz="5" w:color="D9D9D9"/>
              <w:insideV w:val="single" w:sz="5" w:color="D9D9D9"/>
            </w:tcBorders>
            <w:tcMar>
              <w:top w:w="95" w:type="dxa"/>
              <w:start w:w="110" w:type="dxa"/>
              <w:bottom w:w="95" w:type="dxa"/>
              <w:end w:w="110" w:type="dxa"/>
            </w:tcMar>
            <w:vAlign w:val="center"/>
          </w:tcPr>
          <w:p>
            <w:pPr>
              <w:spacing w:line="360" w:lineRule="auto"/>
              <w:jc w:val="center"/>
            </w:pPr>
            <w:r>
              <w:rPr>
                <w:rFonts w:ascii="Aptos" w:hAnsi="Aptos"/>
                <w:b w:val="0"/>
                <w:i w:val="0"/>
                <w:color w:val="000000"/>
                <w:sz w:val="24"/>
              </w:rPr>
              <w:t>☐</w:t>
            </w:r>
          </w:p>
        </w:tc>
        <w:tc>
          <w:tcPr>
            <w:tcW w:type="dxa" w:w="7315"/>
            <w:shd w:fill="FFFFFF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  <w:insideH w:val="single" w:sz="5" w:color="D9D9D9"/>
              <w:insideV w:val="single" w:sz="5" w:color="D9D9D9"/>
            </w:tcBorders>
            <w:tcMar>
              <w:top w:w="95" w:type="dxa"/>
              <w:start w:w="110" w:type="dxa"/>
              <w:bottom w:w="95" w:type="dxa"/>
              <w:end w:w="110" w:type="dxa"/>
            </w:tcMar>
            <w:vAlign w:val="center"/>
          </w:tcPr>
          <w:p>
            <w:pPr>
              <w:spacing w:line="360" w:lineRule="auto"/>
            </w:pPr>
            <w:r>
              <w:rPr>
                <w:rFonts w:ascii="Aptos" w:hAnsi="Aptos"/>
                <w:b w:val="0"/>
                <w:i w:val="0"/>
                <w:color w:val="000000"/>
                <w:sz w:val="22"/>
              </w:rPr>
              <w:t>Obtenir les comptes et situations comptables nécessaires à l’analyse</w:t>
            </w:r>
          </w:p>
        </w:tc>
        <w:tc>
          <w:tcPr>
            <w:tcW w:type="dxa" w:w="2131"/>
            <w:shd w:fill="FFFFFF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  <w:insideH w:val="single" w:sz="5" w:color="D9D9D9"/>
              <w:insideV w:val="single" w:sz="5" w:color="D9D9D9"/>
            </w:tcBorders>
            <w:tcMar>
              <w:top w:w="95" w:type="dxa"/>
              <w:start w:w="110" w:type="dxa"/>
              <w:bottom w:w="95" w:type="dxa"/>
              <w:end w:w="110" w:type="dxa"/>
            </w:tcMar>
            <w:vAlign w:val="center"/>
          </w:tcPr>
          <w:p>
            <w:pPr>
              <w:spacing w:line="360" w:lineRule="auto"/>
              <w:jc w:val="center"/>
            </w:pPr>
            <w:r>
              <w:rPr>
                <w:rFonts w:ascii="Aptos" w:hAnsi="Aptos"/>
                <w:b w:val="0"/>
                <w:i w:val="0"/>
                <w:color w:val="000000"/>
                <w:sz w:val="22"/>
              </w:rPr>
            </w:r>
          </w:p>
        </w:tc>
      </w:tr>
      <w:tr>
        <w:tc>
          <w:tcPr>
            <w:tcW w:type="dxa" w:w="691"/>
            <w:shd w:fill="EEF3F8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  <w:insideH w:val="single" w:sz="5" w:color="D9D9D9"/>
              <w:insideV w:val="single" w:sz="5" w:color="D9D9D9"/>
            </w:tcBorders>
            <w:tcMar>
              <w:top w:w="95" w:type="dxa"/>
              <w:start w:w="110" w:type="dxa"/>
              <w:bottom w:w="95" w:type="dxa"/>
              <w:end w:w="110" w:type="dxa"/>
            </w:tcMar>
            <w:vAlign w:val="center"/>
          </w:tcPr>
          <w:p>
            <w:pPr>
              <w:spacing w:line="360" w:lineRule="auto"/>
              <w:jc w:val="center"/>
            </w:pPr>
            <w:r>
              <w:rPr>
                <w:rFonts w:ascii="Aptos" w:hAnsi="Aptos"/>
                <w:b w:val="0"/>
                <w:i w:val="0"/>
                <w:color w:val="000000"/>
                <w:sz w:val="24"/>
              </w:rPr>
              <w:t>☐</w:t>
            </w:r>
          </w:p>
        </w:tc>
        <w:tc>
          <w:tcPr>
            <w:tcW w:type="dxa" w:w="7315"/>
            <w:shd w:fill="EEF3F8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  <w:insideH w:val="single" w:sz="5" w:color="D9D9D9"/>
              <w:insideV w:val="single" w:sz="5" w:color="D9D9D9"/>
            </w:tcBorders>
            <w:tcMar>
              <w:top w:w="95" w:type="dxa"/>
              <w:start w:w="110" w:type="dxa"/>
              <w:bottom w:w="95" w:type="dxa"/>
              <w:end w:w="110" w:type="dxa"/>
            </w:tcMar>
            <w:vAlign w:val="center"/>
          </w:tcPr>
          <w:p>
            <w:pPr>
              <w:spacing w:line="360" w:lineRule="auto"/>
            </w:pPr>
            <w:r>
              <w:rPr>
                <w:rFonts w:ascii="Aptos" w:hAnsi="Aptos"/>
                <w:b w:val="0"/>
                <w:i w:val="0"/>
                <w:color w:val="000000"/>
                <w:sz w:val="22"/>
              </w:rPr>
              <w:t>Comparer le chiffre d’affaires déclaré avec les données de caisse disponibles</w:t>
            </w:r>
          </w:p>
        </w:tc>
        <w:tc>
          <w:tcPr>
            <w:tcW w:type="dxa" w:w="2131"/>
            <w:shd w:fill="EEF3F8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  <w:insideH w:val="single" w:sz="5" w:color="D9D9D9"/>
              <w:insideV w:val="single" w:sz="5" w:color="D9D9D9"/>
            </w:tcBorders>
            <w:tcMar>
              <w:top w:w="95" w:type="dxa"/>
              <w:start w:w="110" w:type="dxa"/>
              <w:bottom w:w="95" w:type="dxa"/>
              <w:end w:w="110" w:type="dxa"/>
            </w:tcMar>
            <w:vAlign w:val="center"/>
          </w:tcPr>
          <w:p>
            <w:pPr>
              <w:spacing w:line="360" w:lineRule="auto"/>
              <w:jc w:val="center"/>
            </w:pPr>
            <w:r>
              <w:rPr>
                <w:rFonts w:ascii="Aptos" w:hAnsi="Aptos"/>
                <w:b w:val="0"/>
                <w:i w:val="0"/>
                <w:color w:val="000000"/>
                <w:sz w:val="22"/>
              </w:rPr>
            </w:r>
          </w:p>
        </w:tc>
      </w:tr>
      <w:tr>
        <w:tc>
          <w:tcPr>
            <w:tcW w:type="dxa" w:w="691"/>
            <w:shd w:fill="FFFFFF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  <w:insideH w:val="single" w:sz="5" w:color="D9D9D9"/>
              <w:insideV w:val="single" w:sz="5" w:color="D9D9D9"/>
            </w:tcBorders>
            <w:tcMar>
              <w:top w:w="95" w:type="dxa"/>
              <w:start w:w="110" w:type="dxa"/>
              <w:bottom w:w="95" w:type="dxa"/>
              <w:end w:w="110" w:type="dxa"/>
            </w:tcMar>
            <w:vAlign w:val="center"/>
          </w:tcPr>
          <w:p>
            <w:pPr>
              <w:spacing w:line="360" w:lineRule="auto"/>
              <w:jc w:val="center"/>
            </w:pPr>
            <w:r>
              <w:rPr>
                <w:rFonts w:ascii="Aptos" w:hAnsi="Aptos"/>
                <w:b w:val="0"/>
                <w:i w:val="0"/>
                <w:color w:val="000000"/>
                <w:sz w:val="24"/>
              </w:rPr>
              <w:t>☐</w:t>
            </w:r>
          </w:p>
        </w:tc>
        <w:tc>
          <w:tcPr>
            <w:tcW w:type="dxa" w:w="7315"/>
            <w:shd w:fill="FFFFFF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  <w:insideH w:val="single" w:sz="5" w:color="D9D9D9"/>
              <w:insideV w:val="single" w:sz="5" w:color="D9D9D9"/>
            </w:tcBorders>
            <w:tcMar>
              <w:top w:w="95" w:type="dxa"/>
              <w:start w:w="110" w:type="dxa"/>
              <w:bottom w:w="95" w:type="dxa"/>
              <w:end w:w="110" w:type="dxa"/>
            </w:tcMar>
            <w:vAlign w:val="center"/>
          </w:tcPr>
          <w:p>
            <w:pPr>
              <w:spacing w:line="360" w:lineRule="auto"/>
            </w:pPr>
            <w:r>
              <w:rPr>
                <w:rFonts w:ascii="Aptos" w:hAnsi="Aptos"/>
                <w:b w:val="0"/>
                <w:i w:val="0"/>
                <w:color w:val="000000"/>
                <w:sz w:val="22"/>
              </w:rPr>
              <w:t>Analyser la répartition sur place, à emporter, livraison et autres activités</w:t>
            </w:r>
          </w:p>
        </w:tc>
        <w:tc>
          <w:tcPr>
            <w:tcW w:type="dxa" w:w="2131"/>
            <w:shd w:fill="FFFFFF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  <w:insideH w:val="single" w:sz="5" w:color="D9D9D9"/>
              <w:insideV w:val="single" w:sz="5" w:color="D9D9D9"/>
            </w:tcBorders>
            <w:tcMar>
              <w:top w:w="95" w:type="dxa"/>
              <w:start w:w="110" w:type="dxa"/>
              <w:bottom w:w="95" w:type="dxa"/>
              <w:end w:w="110" w:type="dxa"/>
            </w:tcMar>
            <w:vAlign w:val="center"/>
          </w:tcPr>
          <w:p>
            <w:pPr>
              <w:spacing w:line="360" w:lineRule="auto"/>
              <w:jc w:val="center"/>
            </w:pPr>
            <w:r>
              <w:rPr>
                <w:rFonts w:ascii="Aptos" w:hAnsi="Aptos"/>
                <w:b w:val="0"/>
                <w:i w:val="0"/>
                <w:color w:val="000000"/>
                <w:sz w:val="22"/>
              </w:rPr>
            </w:r>
          </w:p>
        </w:tc>
      </w:tr>
      <w:tr>
        <w:tc>
          <w:tcPr>
            <w:tcW w:type="dxa" w:w="691"/>
            <w:shd w:fill="EEF3F8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  <w:insideH w:val="single" w:sz="5" w:color="D9D9D9"/>
              <w:insideV w:val="single" w:sz="5" w:color="D9D9D9"/>
            </w:tcBorders>
            <w:tcMar>
              <w:top w:w="95" w:type="dxa"/>
              <w:start w:w="110" w:type="dxa"/>
              <w:bottom w:w="95" w:type="dxa"/>
              <w:end w:w="110" w:type="dxa"/>
            </w:tcMar>
            <w:vAlign w:val="center"/>
          </w:tcPr>
          <w:p>
            <w:pPr>
              <w:spacing w:line="360" w:lineRule="auto"/>
              <w:jc w:val="center"/>
            </w:pPr>
            <w:r>
              <w:rPr>
                <w:rFonts w:ascii="Aptos" w:hAnsi="Aptos"/>
                <w:b w:val="0"/>
                <w:i w:val="0"/>
                <w:color w:val="000000"/>
                <w:sz w:val="24"/>
              </w:rPr>
              <w:t>☐</w:t>
            </w:r>
          </w:p>
        </w:tc>
        <w:tc>
          <w:tcPr>
            <w:tcW w:type="dxa" w:w="7315"/>
            <w:shd w:fill="EEF3F8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  <w:insideH w:val="single" w:sz="5" w:color="D9D9D9"/>
              <w:insideV w:val="single" w:sz="5" w:color="D9D9D9"/>
            </w:tcBorders>
            <w:tcMar>
              <w:top w:w="95" w:type="dxa"/>
              <w:start w:w="110" w:type="dxa"/>
              <w:bottom w:w="95" w:type="dxa"/>
              <w:end w:w="110" w:type="dxa"/>
            </w:tcMar>
            <w:vAlign w:val="center"/>
          </w:tcPr>
          <w:p>
            <w:pPr>
              <w:spacing w:line="360" w:lineRule="auto"/>
            </w:pPr>
            <w:r>
              <w:rPr>
                <w:rFonts w:ascii="Aptos" w:hAnsi="Aptos"/>
                <w:b w:val="0"/>
                <w:i w:val="0"/>
                <w:color w:val="000000"/>
                <w:sz w:val="22"/>
              </w:rPr>
              <w:t>Étudier les marges, les charges fixes et la saisonnalité</w:t>
            </w:r>
          </w:p>
        </w:tc>
        <w:tc>
          <w:tcPr>
            <w:tcW w:type="dxa" w:w="2131"/>
            <w:shd w:fill="EEF3F8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  <w:insideH w:val="single" w:sz="5" w:color="D9D9D9"/>
              <w:insideV w:val="single" w:sz="5" w:color="D9D9D9"/>
            </w:tcBorders>
            <w:tcMar>
              <w:top w:w="95" w:type="dxa"/>
              <w:start w:w="110" w:type="dxa"/>
              <w:bottom w:w="95" w:type="dxa"/>
              <w:end w:w="110" w:type="dxa"/>
            </w:tcMar>
            <w:vAlign w:val="center"/>
          </w:tcPr>
          <w:p>
            <w:pPr>
              <w:spacing w:line="360" w:lineRule="auto"/>
              <w:jc w:val="center"/>
            </w:pPr>
            <w:r>
              <w:rPr>
                <w:rFonts w:ascii="Aptos" w:hAnsi="Aptos"/>
                <w:b w:val="0"/>
                <w:i w:val="0"/>
                <w:color w:val="000000"/>
                <w:sz w:val="22"/>
              </w:rPr>
            </w:r>
          </w:p>
        </w:tc>
      </w:tr>
      <w:tr>
        <w:tc>
          <w:tcPr>
            <w:tcW w:type="dxa" w:w="691"/>
            <w:shd w:fill="FFFFFF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  <w:insideH w:val="single" w:sz="5" w:color="D9D9D9"/>
              <w:insideV w:val="single" w:sz="5" w:color="D9D9D9"/>
            </w:tcBorders>
            <w:tcMar>
              <w:top w:w="95" w:type="dxa"/>
              <w:start w:w="110" w:type="dxa"/>
              <w:bottom w:w="95" w:type="dxa"/>
              <w:end w:w="110" w:type="dxa"/>
            </w:tcMar>
            <w:vAlign w:val="center"/>
          </w:tcPr>
          <w:p>
            <w:pPr>
              <w:spacing w:line="360" w:lineRule="auto"/>
              <w:jc w:val="center"/>
            </w:pPr>
            <w:r>
              <w:rPr>
                <w:rFonts w:ascii="Aptos" w:hAnsi="Aptos"/>
                <w:b w:val="0"/>
                <w:i w:val="0"/>
                <w:color w:val="000000"/>
                <w:sz w:val="24"/>
              </w:rPr>
              <w:t>☐</w:t>
            </w:r>
          </w:p>
        </w:tc>
        <w:tc>
          <w:tcPr>
            <w:tcW w:type="dxa" w:w="7315"/>
            <w:shd w:fill="FFFFFF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  <w:insideH w:val="single" w:sz="5" w:color="D9D9D9"/>
              <w:insideV w:val="single" w:sz="5" w:color="D9D9D9"/>
            </w:tcBorders>
            <w:tcMar>
              <w:top w:w="95" w:type="dxa"/>
              <w:start w:w="110" w:type="dxa"/>
              <w:bottom w:w="95" w:type="dxa"/>
              <w:end w:w="110" w:type="dxa"/>
            </w:tcMar>
            <w:vAlign w:val="center"/>
          </w:tcPr>
          <w:p>
            <w:pPr>
              <w:spacing w:line="360" w:lineRule="auto"/>
            </w:pPr>
            <w:r>
              <w:rPr>
                <w:rFonts w:ascii="Aptos" w:hAnsi="Aptos"/>
                <w:b w:val="0"/>
                <w:i w:val="0"/>
                <w:color w:val="000000"/>
                <w:sz w:val="22"/>
              </w:rPr>
              <w:t>Recenser les investissements à financer après la reprise</w:t>
            </w:r>
          </w:p>
        </w:tc>
        <w:tc>
          <w:tcPr>
            <w:tcW w:type="dxa" w:w="2131"/>
            <w:shd w:fill="FFFFFF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  <w:insideH w:val="single" w:sz="5" w:color="D9D9D9"/>
              <w:insideV w:val="single" w:sz="5" w:color="D9D9D9"/>
            </w:tcBorders>
            <w:tcMar>
              <w:top w:w="95" w:type="dxa"/>
              <w:start w:w="110" w:type="dxa"/>
              <w:bottom w:w="95" w:type="dxa"/>
              <w:end w:w="110" w:type="dxa"/>
            </w:tcMar>
            <w:vAlign w:val="center"/>
          </w:tcPr>
          <w:p>
            <w:pPr>
              <w:spacing w:line="360" w:lineRule="auto"/>
              <w:jc w:val="center"/>
            </w:pPr>
            <w:r>
              <w:rPr>
                <w:rFonts w:ascii="Aptos" w:hAnsi="Aptos"/>
                <w:b w:val="0"/>
                <w:i w:val="0"/>
                <w:color w:val="000000"/>
                <w:sz w:val="22"/>
              </w:rPr>
            </w:r>
          </w:p>
        </w:tc>
      </w:tr>
    </w:tbl>
    <w:p>
      <w:r>
        <w:br w:type="page"/>
      </w:r>
    </w:p>
    <w:p>
      <w:pPr>
        <w:pStyle w:val="Heading2"/>
      </w:pPr>
      <w:r>
        <w:t>Équipe et contrats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691"/>
        <w:gridCol w:w="7315"/>
        <w:gridCol w:w="2131"/>
      </w:tblGrid>
      <w:tr>
        <w:trPr>
          <w:tblHeader w:val="true"/>
        </w:trPr>
        <w:tc>
          <w:tcPr>
            <w:tcW w:type="dxa" w:w="3427"/>
            <w:shd w:fill="062A54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  <w:insideH w:val="single" w:sz="5" w:color="D9D9D9"/>
              <w:insideV w:val="single" w:sz="5" w:color="D9D9D9"/>
            </w:tcBorders>
            <w:tcMar>
              <w:top w:w="95" w:type="dxa"/>
              <w:start w:w="110" w:type="dxa"/>
              <w:bottom w:w="95" w:type="dxa"/>
              <w:end w:w="110" w:type="dxa"/>
            </w:tcMar>
            <w:vAlign w:val="center"/>
          </w:tcPr>
          <w:p>
            <w:pPr>
              <w:spacing w:line="240" w:lineRule="auto"/>
              <w:jc w:val="center"/>
            </w:pPr>
            <w:r>
              <w:rPr>
                <w:rFonts w:ascii="Aptos" w:hAnsi="Aptos"/>
                <w:b/>
                <w:i w:val="0"/>
                <w:color w:val="FFFFFF"/>
                <w:sz w:val="20"/>
              </w:rPr>
              <w:t>OK</w:t>
            </w:r>
          </w:p>
        </w:tc>
        <w:tc>
          <w:tcPr>
            <w:tcW w:type="dxa" w:w="3427"/>
            <w:shd w:fill="062A54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  <w:insideH w:val="single" w:sz="5" w:color="D9D9D9"/>
              <w:insideV w:val="single" w:sz="5" w:color="D9D9D9"/>
            </w:tcBorders>
            <w:tcMar>
              <w:top w:w="95" w:type="dxa"/>
              <w:start w:w="110" w:type="dxa"/>
              <w:bottom w:w="95" w:type="dxa"/>
              <w:end w:w="110" w:type="dxa"/>
            </w:tcMar>
            <w:vAlign w:val="center"/>
          </w:tcPr>
          <w:p>
            <w:pPr>
              <w:spacing w:line="240" w:lineRule="auto"/>
              <w:jc w:val="center"/>
            </w:pPr>
            <w:r>
              <w:rPr>
                <w:rFonts w:ascii="Aptos" w:hAnsi="Aptos"/>
                <w:b/>
                <w:i w:val="0"/>
                <w:color w:val="FFFFFF"/>
                <w:sz w:val="20"/>
              </w:rPr>
              <w:t>Point à contrôler</w:t>
            </w:r>
          </w:p>
        </w:tc>
        <w:tc>
          <w:tcPr>
            <w:tcW w:type="dxa" w:w="3427"/>
            <w:shd w:fill="062A54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  <w:insideH w:val="single" w:sz="5" w:color="D9D9D9"/>
              <w:insideV w:val="single" w:sz="5" w:color="D9D9D9"/>
            </w:tcBorders>
            <w:tcMar>
              <w:top w:w="95" w:type="dxa"/>
              <w:start w:w="110" w:type="dxa"/>
              <w:bottom w:w="95" w:type="dxa"/>
              <w:end w:w="110" w:type="dxa"/>
            </w:tcMar>
            <w:vAlign w:val="center"/>
          </w:tcPr>
          <w:p>
            <w:pPr>
              <w:spacing w:line="240" w:lineRule="auto"/>
              <w:jc w:val="center"/>
            </w:pPr>
            <w:r>
              <w:rPr>
                <w:rFonts w:ascii="Aptos" w:hAnsi="Aptos"/>
                <w:b/>
                <w:i w:val="0"/>
                <w:color w:val="FFFFFF"/>
                <w:sz w:val="20"/>
              </w:rPr>
              <w:t>Observation</w:t>
            </w:r>
          </w:p>
        </w:tc>
      </w:tr>
      <w:tr>
        <w:tc>
          <w:tcPr>
            <w:tcW w:type="dxa" w:w="691"/>
            <w:shd w:fill="FFFFFF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  <w:insideH w:val="single" w:sz="5" w:color="D9D9D9"/>
              <w:insideV w:val="single" w:sz="5" w:color="D9D9D9"/>
            </w:tcBorders>
            <w:tcMar>
              <w:top w:w="95" w:type="dxa"/>
              <w:start w:w="110" w:type="dxa"/>
              <w:bottom w:w="95" w:type="dxa"/>
              <w:end w:w="110" w:type="dxa"/>
            </w:tcMar>
            <w:vAlign w:val="center"/>
          </w:tcPr>
          <w:p>
            <w:pPr>
              <w:spacing w:line="360" w:lineRule="auto"/>
              <w:jc w:val="center"/>
            </w:pPr>
            <w:r>
              <w:rPr>
                <w:rFonts w:ascii="Aptos" w:hAnsi="Aptos"/>
                <w:b w:val="0"/>
                <w:i w:val="0"/>
                <w:color w:val="000000"/>
                <w:sz w:val="24"/>
              </w:rPr>
              <w:t>☐</w:t>
            </w:r>
          </w:p>
        </w:tc>
        <w:tc>
          <w:tcPr>
            <w:tcW w:type="dxa" w:w="7315"/>
            <w:shd w:fill="FFFFFF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  <w:insideH w:val="single" w:sz="5" w:color="D9D9D9"/>
              <w:insideV w:val="single" w:sz="5" w:color="D9D9D9"/>
            </w:tcBorders>
            <w:tcMar>
              <w:top w:w="95" w:type="dxa"/>
              <w:start w:w="110" w:type="dxa"/>
              <w:bottom w:w="95" w:type="dxa"/>
              <w:end w:w="110" w:type="dxa"/>
            </w:tcMar>
            <w:vAlign w:val="center"/>
          </w:tcPr>
          <w:p>
            <w:pPr>
              <w:spacing w:line="360" w:lineRule="auto"/>
            </w:pPr>
            <w:r>
              <w:rPr>
                <w:rFonts w:ascii="Aptos" w:hAnsi="Aptos"/>
                <w:b w:val="0"/>
                <w:i w:val="0"/>
                <w:color w:val="000000"/>
                <w:sz w:val="22"/>
              </w:rPr>
              <w:t>Obtenir la liste du personnel et les éléments contractuels à vérifier</w:t>
            </w:r>
          </w:p>
        </w:tc>
        <w:tc>
          <w:tcPr>
            <w:tcW w:type="dxa" w:w="2131"/>
            <w:shd w:fill="FFFFFF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  <w:insideH w:val="single" w:sz="5" w:color="D9D9D9"/>
              <w:insideV w:val="single" w:sz="5" w:color="D9D9D9"/>
            </w:tcBorders>
            <w:tcMar>
              <w:top w:w="95" w:type="dxa"/>
              <w:start w:w="110" w:type="dxa"/>
              <w:bottom w:w="95" w:type="dxa"/>
              <w:end w:w="110" w:type="dxa"/>
            </w:tcMar>
            <w:vAlign w:val="center"/>
          </w:tcPr>
          <w:p>
            <w:pPr>
              <w:spacing w:line="360" w:lineRule="auto"/>
              <w:jc w:val="center"/>
            </w:pPr>
            <w:r>
              <w:rPr>
                <w:rFonts w:ascii="Aptos" w:hAnsi="Aptos"/>
                <w:b w:val="0"/>
                <w:i w:val="0"/>
                <w:color w:val="000000"/>
                <w:sz w:val="22"/>
              </w:rPr>
            </w:r>
          </w:p>
        </w:tc>
      </w:tr>
      <w:tr>
        <w:tc>
          <w:tcPr>
            <w:tcW w:type="dxa" w:w="691"/>
            <w:shd w:fill="EEF3F8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  <w:insideH w:val="single" w:sz="5" w:color="D9D9D9"/>
              <w:insideV w:val="single" w:sz="5" w:color="D9D9D9"/>
            </w:tcBorders>
            <w:tcMar>
              <w:top w:w="95" w:type="dxa"/>
              <w:start w:w="110" w:type="dxa"/>
              <w:bottom w:w="95" w:type="dxa"/>
              <w:end w:w="110" w:type="dxa"/>
            </w:tcMar>
            <w:vAlign w:val="center"/>
          </w:tcPr>
          <w:p>
            <w:pPr>
              <w:spacing w:line="360" w:lineRule="auto"/>
              <w:jc w:val="center"/>
            </w:pPr>
            <w:r>
              <w:rPr>
                <w:rFonts w:ascii="Aptos" w:hAnsi="Aptos"/>
                <w:b w:val="0"/>
                <w:i w:val="0"/>
                <w:color w:val="000000"/>
                <w:sz w:val="24"/>
              </w:rPr>
              <w:t>☐</w:t>
            </w:r>
          </w:p>
        </w:tc>
        <w:tc>
          <w:tcPr>
            <w:tcW w:type="dxa" w:w="7315"/>
            <w:shd w:fill="EEF3F8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  <w:insideH w:val="single" w:sz="5" w:color="D9D9D9"/>
              <w:insideV w:val="single" w:sz="5" w:color="D9D9D9"/>
            </w:tcBorders>
            <w:tcMar>
              <w:top w:w="95" w:type="dxa"/>
              <w:start w:w="110" w:type="dxa"/>
              <w:bottom w:w="95" w:type="dxa"/>
              <w:end w:w="110" w:type="dxa"/>
            </w:tcMar>
            <w:vAlign w:val="center"/>
          </w:tcPr>
          <w:p>
            <w:pPr>
              <w:spacing w:line="360" w:lineRule="auto"/>
            </w:pPr>
            <w:r>
              <w:rPr>
                <w:rFonts w:ascii="Aptos" w:hAnsi="Aptos"/>
                <w:b w:val="0"/>
                <w:i w:val="0"/>
                <w:color w:val="000000"/>
                <w:sz w:val="22"/>
              </w:rPr>
              <w:t>Identifier l’ancienneté, les compétences clés et l’organisation des horaires</w:t>
            </w:r>
          </w:p>
        </w:tc>
        <w:tc>
          <w:tcPr>
            <w:tcW w:type="dxa" w:w="2131"/>
            <w:shd w:fill="EEF3F8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  <w:insideH w:val="single" w:sz="5" w:color="D9D9D9"/>
              <w:insideV w:val="single" w:sz="5" w:color="D9D9D9"/>
            </w:tcBorders>
            <w:tcMar>
              <w:top w:w="95" w:type="dxa"/>
              <w:start w:w="110" w:type="dxa"/>
              <w:bottom w:w="95" w:type="dxa"/>
              <w:end w:w="110" w:type="dxa"/>
            </w:tcMar>
            <w:vAlign w:val="center"/>
          </w:tcPr>
          <w:p>
            <w:pPr>
              <w:spacing w:line="360" w:lineRule="auto"/>
              <w:jc w:val="center"/>
            </w:pPr>
            <w:r>
              <w:rPr>
                <w:rFonts w:ascii="Aptos" w:hAnsi="Aptos"/>
                <w:b w:val="0"/>
                <w:i w:val="0"/>
                <w:color w:val="000000"/>
                <w:sz w:val="22"/>
              </w:rPr>
            </w:r>
          </w:p>
        </w:tc>
      </w:tr>
      <w:tr>
        <w:tc>
          <w:tcPr>
            <w:tcW w:type="dxa" w:w="691"/>
            <w:shd w:fill="FFFFFF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  <w:insideH w:val="single" w:sz="5" w:color="D9D9D9"/>
              <w:insideV w:val="single" w:sz="5" w:color="D9D9D9"/>
            </w:tcBorders>
            <w:tcMar>
              <w:top w:w="95" w:type="dxa"/>
              <w:start w:w="110" w:type="dxa"/>
              <w:bottom w:w="95" w:type="dxa"/>
              <w:end w:w="110" w:type="dxa"/>
            </w:tcMar>
            <w:vAlign w:val="center"/>
          </w:tcPr>
          <w:p>
            <w:pPr>
              <w:spacing w:line="360" w:lineRule="auto"/>
              <w:jc w:val="center"/>
            </w:pPr>
            <w:r>
              <w:rPr>
                <w:rFonts w:ascii="Aptos" w:hAnsi="Aptos"/>
                <w:b w:val="0"/>
                <w:i w:val="0"/>
                <w:color w:val="000000"/>
                <w:sz w:val="24"/>
              </w:rPr>
              <w:t>☐</w:t>
            </w:r>
          </w:p>
        </w:tc>
        <w:tc>
          <w:tcPr>
            <w:tcW w:type="dxa" w:w="7315"/>
            <w:shd w:fill="FFFFFF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  <w:insideH w:val="single" w:sz="5" w:color="D9D9D9"/>
              <w:insideV w:val="single" w:sz="5" w:color="D9D9D9"/>
            </w:tcBorders>
            <w:tcMar>
              <w:top w:w="95" w:type="dxa"/>
              <w:start w:w="110" w:type="dxa"/>
              <w:bottom w:w="95" w:type="dxa"/>
              <w:end w:w="110" w:type="dxa"/>
            </w:tcMar>
            <w:vAlign w:val="center"/>
          </w:tcPr>
          <w:p>
            <w:pPr>
              <w:spacing w:line="360" w:lineRule="auto"/>
            </w:pPr>
            <w:r>
              <w:rPr>
                <w:rFonts w:ascii="Aptos" w:hAnsi="Aptos"/>
                <w:b w:val="0"/>
                <w:i w:val="0"/>
                <w:color w:val="000000"/>
                <w:sz w:val="22"/>
              </w:rPr>
              <w:t>Examiner les absences, litiges et obligations sociales avec un professionnel</w:t>
            </w:r>
          </w:p>
        </w:tc>
        <w:tc>
          <w:tcPr>
            <w:tcW w:type="dxa" w:w="2131"/>
            <w:shd w:fill="FFFFFF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  <w:insideH w:val="single" w:sz="5" w:color="D9D9D9"/>
              <w:insideV w:val="single" w:sz="5" w:color="D9D9D9"/>
            </w:tcBorders>
            <w:tcMar>
              <w:top w:w="95" w:type="dxa"/>
              <w:start w:w="110" w:type="dxa"/>
              <w:bottom w:w="95" w:type="dxa"/>
              <w:end w:w="110" w:type="dxa"/>
            </w:tcMar>
            <w:vAlign w:val="center"/>
          </w:tcPr>
          <w:p>
            <w:pPr>
              <w:spacing w:line="360" w:lineRule="auto"/>
              <w:jc w:val="center"/>
            </w:pPr>
            <w:r>
              <w:rPr>
                <w:rFonts w:ascii="Aptos" w:hAnsi="Aptos"/>
                <w:b w:val="0"/>
                <w:i w:val="0"/>
                <w:color w:val="000000"/>
                <w:sz w:val="22"/>
              </w:rPr>
            </w:r>
          </w:p>
        </w:tc>
      </w:tr>
      <w:tr>
        <w:tc>
          <w:tcPr>
            <w:tcW w:type="dxa" w:w="691"/>
            <w:shd w:fill="EEF3F8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  <w:insideH w:val="single" w:sz="5" w:color="D9D9D9"/>
              <w:insideV w:val="single" w:sz="5" w:color="D9D9D9"/>
            </w:tcBorders>
            <w:tcMar>
              <w:top w:w="95" w:type="dxa"/>
              <w:start w:w="110" w:type="dxa"/>
              <w:bottom w:w="95" w:type="dxa"/>
              <w:end w:w="110" w:type="dxa"/>
            </w:tcMar>
            <w:vAlign w:val="center"/>
          </w:tcPr>
          <w:p>
            <w:pPr>
              <w:spacing w:line="360" w:lineRule="auto"/>
              <w:jc w:val="center"/>
            </w:pPr>
            <w:r>
              <w:rPr>
                <w:rFonts w:ascii="Aptos" w:hAnsi="Aptos"/>
                <w:b w:val="0"/>
                <w:i w:val="0"/>
                <w:color w:val="000000"/>
                <w:sz w:val="24"/>
              </w:rPr>
              <w:t>☐</w:t>
            </w:r>
          </w:p>
        </w:tc>
        <w:tc>
          <w:tcPr>
            <w:tcW w:type="dxa" w:w="7315"/>
            <w:shd w:fill="EEF3F8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  <w:insideH w:val="single" w:sz="5" w:color="D9D9D9"/>
              <w:insideV w:val="single" w:sz="5" w:color="D9D9D9"/>
            </w:tcBorders>
            <w:tcMar>
              <w:top w:w="95" w:type="dxa"/>
              <w:start w:w="110" w:type="dxa"/>
              <w:bottom w:w="95" w:type="dxa"/>
              <w:end w:w="110" w:type="dxa"/>
            </w:tcMar>
            <w:vAlign w:val="center"/>
          </w:tcPr>
          <w:p>
            <w:pPr>
              <w:spacing w:line="360" w:lineRule="auto"/>
            </w:pPr>
            <w:r>
              <w:rPr>
                <w:rFonts w:ascii="Aptos" w:hAnsi="Aptos"/>
                <w:b w:val="0"/>
                <w:i w:val="0"/>
                <w:color w:val="000000"/>
                <w:sz w:val="22"/>
              </w:rPr>
              <w:t>Comprendre les fonctions réellement exercées par le cédant</w:t>
            </w:r>
          </w:p>
        </w:tc>
        <w:tc>
          <w:tcPr>
            <w:tcW w:type="dxa" w:w="2131"/>
            <w:shd w:fill="EEF3F8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  <w:insideH w:val="single" w:sz="5" w:color="D9D9D9"/>
              <w:insideV w:val="single" w:sz="5" w:color="D9D9D9"/>
            </w:tcBorders>
            <w:tcMar>
              <w:top w:w="95" w:type="dxa"/>
              <w:start w:w="110" w:type="dxa"/>
              <w:bottom w:w="95" w:type="dxa"/>
              <w:end w:w="110" w:type="dxa"/>
            </w:tcMar>
            <w:vAlign w:val="center"/>
          </w:tcPr>
          <w:p>
            <w:pPr>
              <w:spacing w:line="360" w:lineRule="auto"/>
              <w:jc w:val="center"/>
            </w:pPr>
            <w:r>
              <w:rPr>
                <w:rFonts w:ascii="Aptos" w:hAnsi="Aptos"/>
                <w:b w:val="0"/>
                <w:i w:val="0"/>
                <w:color w:val="000000"/>
                <w:sz w:val="22"/>
              </w:rPr>
            </w:r>
          </w:p>
        </w:tc>
      </w:tr>
      <w:tr>
        <w:tc>
          <w:tcPr>
            <w:tcW w:type="dxa" w:w="691"/>
            <w:shd w:fill="FFFFFF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  <w:insideH w:val="single" w:sz="5" w:color="D9D9D9"/>
              <w:insideV w:val="single" w:sz="5" w:color="D9D9D9"/>
            </w:tcBorders>
            <w:tcMar>
              <w:top w:w="95" w:type="dxa"/>
              <w:start w:w="110" w:type="dxa"/>
              <w:bottom w:w="95" w:type="dxa"/>
              <w:end w:w="110" w:type="dxa"/>
            </w:tcMar>
            <w:vAlign w:val="center"/>
          </w:tcPr>
          <w:p>
            <w:pPr>
              <w:spacing w:line="360" w:lineRule="auto"/>
              <w:jc w:val="center"/>
            </w:pPr>
            <w:r>
              <w:rPr>
                <w:rFonts w:ascii="Aptos" w:hAnsi="Aptos"/>
                <w:b w:val="0"/>
                <w:i w:val="0"/>
                <w:color w:val="000000"/>
                <w:sz w:val="24"/>
              </w:rPr>
              <w:t>☐</w:t>
            </w:r>
          </w:p>
        </w:tc>
        <w:tc>
          <w:tcPr>
            <w:tcW w:type="dxa" w:w="7315"/>
            <w:shd w:fill="FFFFFF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  <w:insideH w:val="single" w:sz="5" w:color="D9D9D9"/>
              <w:insideV w:val="single" w:sz="5" w:color="D9D9D9"/>
            </w:tcBorders>
            <w:tcMar>
              <w:top w:w="95" w:type="dxa"/>
              <w:start w:w="110" w:type="dxa"/>
              <w:bottom w:w="95" w:type="dxa"/>
              <w:end w:w="110" w:type="dxa"/>
            </w:tcMar>
            <w:vAlign w:val="center"/>
          </w:tcPr>
          <w:p>
            <w:pPr>
              <w:spacing w:line="360" w:lineRule="auto"/>
            </w:pPr>
            <w:r>
              <w:rPr>
                <w:rFonts w:ascii="Aptos" w:hAnsi="Aptos"/>
                <w:b w:val="0"/>
                <w:i w:val="0"/>
                <w:color w:val="000000"/>
                <w:sz w:val="22"/>
              </w:rPr>
              <w:t>Évaluer les risques liés au départ d’une personne clé</w:t>
            </w:r>
          </w:p>
        </w:tc>
        <w:tc>
          <w:tcPr>
            <w:tcW w:type="dxa" w:w="2131"/>
            <w:shd w:fill="FFFFFF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  <w:insideH w:val="single" w:sz="5" w:color="D9D9D9"/>
              <w:insideV w:val="single" w:sz="5" w:color="D9D9D9"/>
            </w:tcBorders>
            <w:tcMar>
              <w:top w:w="95" w:type="dxa"/>
              <w:start w:w="110" w:type="dxa"/>
              <w:bottom w:w="95" w:type="dxa"/>
              <w:end w:w="110" w:type="dxa"/>
            </w:tcMar>
            <w:vAlign w:val="center"/>
          </w:tcPr>
          <w:p>
            <w:pPr>
              <w:spacing w:line="360" w:lineRule="auto"/>
              <w:jc w:val="center"/>
            </w:pPr>
            <w:r>
              <w:rPr>
                <w:rFonts w:ascii="Aptos" w:hAnsi="Aptos"/>
                <w:b w:val="0"/>
                <w:i w:val="0"/>
                <w:color w:val="000000"/>
                <w:sz w:val="22"/>
              </w:rPr>
            </w:r>
          </w:p>
        </w:tc>
      </w:tr>
    </w:tbl>
    <w:p>
      <w:pPr>
        <w:pStyle w:val="Heading2"/>
      </w:pPr>
      <w:r>
        <w:t>Bail et engagements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691"/>
        <w:gridCol w:w="7315"/>
        <w:gridCol w:w="2131"/>
      </w:tblGrid>
      <w:tr>
        <w:trPr>
          <w:tblHeader w:val="true"/>
        </w:trPr>
        <w:tc>
          <w:tcPr>
            <w:tcW w:type="dxa" w:w="3427"/>
            <w:shd w:fill="062A54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  <w:insideH w:val="single" w:sz="5" w:color="D9D9D9"/>
              <w:insideV w:val="single" w:sz="5" w:color="D9D9D9"/>
            </w:tcBorders>
            <w:tcMar>
              <w:top w:w="95" w:type="dxa"/>
              <w:start w:w="110" w:type="dxa"/>
              <w:bottom w:w="95" w:type="dxa"/>
              <w:end w:w="110" w:type="dxa"/>
            </w:tcMar>
            <w:vAlign w:val="center"/>
          </w:tcPr>
          <w:p>
            <w:pPr>
              <w:spacing w:line="240" w:lineRule="auto"/>
              <w:jc w:val="center"/>
            </w:pPr>
            <w:r>
              <w:rPr>
                <w:rFonts w:ascii="Aptos" w:hAnsi="Aptos"/>
                <w:b/>
                <w:i w:val="0"/>
                <w:color w:val="FFFFFF"/>
                <w:sz w:val="20"/>
              </w:rPr>
              <w:t>OK</w:t>
            </w:r>
          </w:p>
        </w:tc>
        <w:tc>
          <w:tcPr>
            <w:tcW w:type="dxa" w:w="3427"/>
            <w:shd w:fill="062A54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  <w:insideH w:val="single" w:sz="5" w:color="D9D9D9"/>
              <w:insideV w:val="single" w:sz="5" w:color="D9D9D9"/>
            </w:tcBorders>
            <w:tcMar>
              <w:top w:w="95" w:type="dxa"/>
              <w:start w:w="110" w:type="dxa"/>
              <w:bottom w:w="95" w:type="dxa"/>
              <w:end w:w="110" w:type="dxa"/>
            </w:tcMar>
            <w:vAlign w:val="center"/>
          </w:tcPr>
          <w:p>
            <w:pPr>
              <w:spacing w:line="240" w:lineRule="auto"/>
              <w:jc w:val="center"/>
            </w:pPr>
            <w:r>
              <w:rPr>
                <w:rFonts w:ascii="Aptos" w:hAnsi="Aptos"/>
                <w:b/>
                <w:i w:val="0"/>
                <w:color w:val="FFFFFF"/>
                <w:sz w:val="20"/>
              </w:rPr>
              <w:t>Point à contrôler</w:t>
            </w:r>
          </w:p>
        </w:tc>
        <w:tc>
          <w:tcPr>
            <w:tcW w:type="dxa" w:w="3427"/>
            <w:shd w:fill="062A54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  <w:insideH w:val="single" w:sz="5" w:color="D9D9D9"/>
              <w:insideV w:val="single" w:sz="5" w:color="D9D9D9"/>
            </w:tcBorders>
            <w:tcMar>
              <w:top w:w="95" w:type="dxa"/>
              <w:start w:w="110" w:type="dxa"/>
              <w:bottom w:w="95" w:type="dxa"/>
              <w:end w:w="110" w:type="dxa"/>
            </w:tcMar>
            <w:vAlign w:val="center"/>
          </w:tcPr>
          <w:p>
            <w:pPr>
              <w:spacing w:line="240" w:lineRule="auto"/>
              <w:jc w:val="center"/>
            </w:pPr>
            <w:r>
              <w:rPr>
                <w:rFonts w:ascii="Aptos" w:hAnsi="Aptos"/>
                <w:b/>
                <w:i w:val="0"/>
                <w:color w:val="FFFFFF"/>
                <w:sz w:val="20"/>
              </w:rPr>
              <w:t>Observation</w:t>
            </w:r>
          </w:p>
        </w:tc>
      </w:tr>
      <w:tr>
        <w:tc>
          <w:tcPr>
            <w:tcW w:type="dxa" w:w="691"/>
            <w:shd w:fill="FFFFFF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  <w:insideH w:val="single" w:sz="5" w:color="D9D9D9"/>
              <w:insideV w:val="single" w:sz="5" w:color="D9D9D9"/>
            </w:tcBorders>
            <w:tcMar>
              <w:top w:w="95" w:type="dxa"/>
              <w:start w:w="110" w:type="dxa"/>
              <w:bottom w:w="95" w:type="dxa"/>
              <w:end w:w="110" w:type="dxa"/>
            </w:tcMar>
            <w:vAlign w:val="center"/>
          </w:tcPr>
          <w:p>
            <w:pPr>
              <w:spacing w:line="360" w:lineRule="auto"/>
              <w:jc w:val="center"/>
            </w:pPr>
            <w:r>
              <w:rPr>
                <w:rFonts w:ascii="Aptos" w:hAnsi="Aptos"/>
                <w:b w:val="0"/>
                <w:i w:val="0"/>
                <w:color w:val="000000"/>
                <w:sz w:val="24"/>
              </w:rPr>
              <w:t>☐</w:t>
            </w:r>
          </w:p>
        </w:tc>
        <w:tc>
          <w:tcPr>
            <w:tcW w:type="dxa" w:w="7315"/>
            <w:shd w:fill="FFFFFF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  <w:insideH w:val="single" w:sz="5" w:color="D9D9D9"/>
              <w:insideV w:val="single" w:sz="5" w:color="D9D9D9"/>
            </w:tcBorders>
            <w:tcMar>
              <w:top w:w="95" w:type="dxa"/>
              <w:start w:w="110" w:type="dxa"/>
              <w:bottom w:w="95" w:type="dxa"/>
              <w:end w:w="110" w:type="dxa"/>
            </w:tcMar>
            <w:vAlign w:val="center"/>
          </w:tcPr>
          <w:p>
            <w:pPr>
              <w:spacing w:line="360" w:lineRule="auto"/>
            </w:pPr>
            <w:r>
              <w:rPr>
                <w:rFonts w:ascii="Aptos" w:hAnsi="Aptos"/>
                <w:b w:val="0"/>
                <w:i w:val="0"/>
                <w:color w:val="000000"/>
                <w:sz w:val="22"/>
              </w:rPr>
              <w:t>Faire analyser le bail commercial et sa durée restante</w:t>
            </w:r>
          </w:p>
        </w:tc>
        <w:tc>
          <w:tcPr>
            <w:tcW w:type="dxa" w:w="2131"/>
            <w:shd w:fill="FFFFFF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  <w:insideH w:val="single" w:sz="5" w:color="D9D9D9"/>
              <w:insideV w:val="single" w:sz="5" w:color="D9D9D9"/>
            </w:tcBorders>
            <w:tcMar>
              <w:top w:w="95" w:type="dxa"/>
              <w:start w:w="110" w:type="dxa"/>
              <w:bottom w:w="95" w:type="dxa"/>
              <w:end w:w="110" w:type="dxa"/>
            </w:tcMar>
            <w:vAlign w:val="center"/>
          </w:tcPr>
          <w:p>
            <w:pPr>
              <w:spacing w:line="360" w:lineRule="auto"/>
              <w:jc w:val="center"/>
            </w:pPr>
            <w:r>
              <w:rPr>
                <w:rFonts w:ascii="Aptos" w:hAnsi="Aptos"/>
                <w:b w:val="0"/>
                <w:i w:val="0"/>
                <w:color w:val="000000"/>
                <w:sz w:val="22"/>
              </w:rPr>
            </w:r>
          </w:p>
        </w:tc>
      </w:tr>
      <w:tr>
        <w:tc>
          <w:tcPr>
            <w:tcW w:type="dxa" w:w="691"/>
            <w:shd w:fill="EEF3F8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  <w:insideH w:val="single" w:sz="5" w:color="D9D9D9"/>
              <w:insideV w:val="single" w:sz="5" w:color="D9D9D9"/>
            </w:tcBorders>
            <w:tcMar>
              <w:top w:w="95" w:type="dxa"/>
              <w:start w:w="110" w:type="dxa"/>
              <w:bottom w:w="95" w:type="dxa"/>
              <w:end w:w="110" w:type="dxa"/>
            </w:tcMar>
            <w:vAlign w:val="center"/>
          </w:tcPr>
          <w:p>
            <w:pPr>
              <w:spacing w:line="360" w:lineRule="auto"/>
              <w:jc w:val="center"/>
            </w:pPr>
            <w:r>
              <w:rPr>
                <w:rFonts w:ascii="Aptos" w:hAnsi="Aptos"/>
                <w:b w:val="0"/>
                <w:i w:val="0"/>
                <w:color w:val="000000"/>
                <w:sz w:val="24"/>
              </w:rPr>
              <w:t>☐</w:t>
            </w:r>
          </w:p>
        </w:tc>
        <w:tc>
          <w:tcPr>
            <w:tcW w:type="dxa" w:w="7315"/>
            <w:shd w:fill="EEF3F8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  <w:insideH w:val="single" w:sz="5" w:color="D9D9D9"/>
              <w:insideV w:val="single" w:sz="5" w:color="D9D9D9"/>
            </w:tcBorders>
            <w:tcMar>
              <w:top w:w="95" w:type="dxa"/>
              <w:start w:w="110" w:type="dxa"/>
              <w:bottom w:w="95" w:type="dxa"/>
              <w:end w:w="110" w:type="dxa"/>
            </w:tcMar>
            <w:vAlign w:val="center"/>
          </w:tcPr>
          <w:p>
            <w:pPr>
              <w:spacing w:line="360" w:lineRule="auto"/>
            </w:pPr>
            <w:r>
              <w:rPr>
                <w:rFonts w:ascii="Aptos" w:hAnsi="Aptos"/>
                <w:b w:val="0"/>
                <w:i w:val="0"/>
                <w:color w:val="000000"/>
                <w:sz w:val="22"/>
              </w:rPr>
              <w:t>Vérifier la destination du bail et les activités autorisées</w:t>
            </w:r>
          </w:p>
        </w:tc>
        <w:tc>
          <w:tcPr>
            <w:tcW w:type="dxa" w:w="2131"/>
            <w:shd w:fill="EEF3F8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  <w:insideH w:val="single" w:sz="5" w:color="D9D9D9"/>
              <w:insideV w:val="single" w:sz="5" w:color="D9D9D9"/>
            </w:tcBorders>
            <w:tcMar>
              <w:top w:w="95" w:type="dxa"/>
              <w:start w:w="110" w:type="dxa"/>
              <w:bottom w:w="95" w:type="dxa"/>
              <w:end w:w="110" w:type="dxa"/>
            </w:tcMar>
            <w:vAlign w:val="center"/>
          </w:tcPr>
          <w:p>
            <w:pPr>
              <w:spacing w:line="360" w:lineRule="auto"/>
              <w:jc w:val="center"/>
            </w:pPr>
            <w:r>
              <w:rPr>
                <w:rFonts w:ascii="Aptos" w:hAnsi="Aptos"/>
                <w:b w:val="0"/>
                <w:i w:val="0"/>
                <w:color w:val="000000"/>
                <w:sz w:val="22"/>
              </w:rPr>
            </w:r>
          </w:p>
        </w:tc>
      </w:tr>
      <w:tr>
        <w:tc>
          <w:tcPr>
            <w:tcW w:type="dxa" w:w="691"/>
            <w:shd w:fill="FFFFFF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  <w:insideH w:val="single" w:sz="5" w:color="D9D9D9"/>
              <w:insideV w:val="single" w:sz="5" w:color="D9D9D9"/>
            </w:tcBorders>
            <w:tcMar>
              <w:top w:w="95" w:type="dxa"/>
              <w:start w:w="110" w:type="dxa"/>
              <w:bottom w:w="95" w:type="dxa"/>
              <w:end w:w="110" w:type="dxa"/>
            </w:tcMar>
            <w:vAlign w:val="center"/>
          </w:tcPr>
          <w:p>
            <w:pPr>
              <w:spacing w:line="360" w:lineRule="auto"/>
              <w:jc w:val="center"/>
            </w:pPr>
            <w:r>
              <w:rPr>
                <w:rFonts w:ascii="Aptos" w:hAnsi="Aptos"/>
                <w:b w:val="0"/>
                <w:i w:val="0"/>
                <w:color w:val="000000"/>
                <w:sz w:val="24"/>
              </w:rPr>
              <w:t>☐</w:t>
            </w:r>
          </w:p>
        </w:tc>
        <w:tc>
          <w:tcPr>
            <w:tcW w:type="dxa" w:w="7315"/>
            <w:shd w:fill="FFFFFF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  <w:insideH w:val="single" w:sz="5" w:color="D9D9D9"/>
              <w:insideV w:val="single" w:sz="5" w:color="D9D9D9"/>
            </w:tcBorders>
            <w:tcMar>
              <w:top w:w="95" w:type="dxa"/>
              <w:start w:w="110" w:type="dxa"/>
              <w:bottom w:w="95" w:type="dxa"/>
              <w:end w:w="110" w:type="dxa"/>
            </w:tcMar>
            <w:vAlign w:val="center"/>
          </w:tcPr>
          <w:p>
            <w:pPr>
              <w:spacing w:line="360" w:lineRule="auto"/>
            </w:pPr>
            <w:r>
              <w:rPr>
                <w:rFonts w:ascii="Aptos" w:hAnsi="Aptos"/>
                <w:b w:val="0"/>
                <w:i w:val="0"/>
                <w:color w:val="000000"/>
                <w:sz w:val="22"/>
              </w:rPr>
              <w:t>Recenser les loyers, charges, dépôts, garanties et révisions</w:t>
            </w:r>
          </w:p>
        </w:tc>
        <w:tc>
          <w:tcPr>
            <w:tcW w:type="dxa" w:w="2131"/>
            <w:shd w:fill="FFFFFF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  <w:insideH w:val="single" w:sz="5" w:color="D9D9D9"/>
              <w:insideV w:val="single" w:sz="5" w:color="D9D9D9"/>
            </w:tcBorders>
            <w:tcMar>
              <w:top w:w="95" w:type="dxa"/>
              <w:start w:w="110" w:type="dxa"/>
              <w:bottom w:w="95" w:type="dxa"/>
              <w:end w:w="110" w:type="dxa"/>
            </w:tcMar>
            <w:vAlign w:val="center"/>
          </w:tcPr>
          <w:p>
            <w:pPr>
              <w:spacing w:line="360" w:lineRule="auto"/>
              <w:jc w:val="center"/>
            </w:pPr>
            <w:r>
              <w:rPr>
                <w:rFonts w:ascii="Aptos" w:hAnsi="Aptos"/>
                <w:b w:val="0"/>
                <w:i w:val="0"/>
                <w:color w:val="000000"/>
                <w:sz w:val="22"/>
              </w:rPr>
            </w:r>
          </w:p>
        </w:tc>
      </w:tr>
      <w:tr>
        <w:tc>
          <w:tcPr>
            <w:tcW w:type="dxa" w:w="691"/>
            <w:shd w:fill="EEF3F8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  <w:insideH w:val="single" w:sz="5" w:color="D9D9D9"/>
              <w:insideV w:val="single" w:sz="5" w:color="D9D9D9"/>
            </w:tcBorders>
            <w:tcMar>
              <w:top w:w="95" w:type="dxa"/>
              <w:start w:w="110" w:type="dxa"/>
              <w:bottom w:w="95" w:type="dxa"/>
              <w:end w:w="110" w:type="dxa"/>
            </w:tcMar>
            <w:vAlign w:val="center"/>
          </w:tcPr>
          <w:p>
            <w:pPr>
              <w:spacing w:line="360" w:lineRule="auto"/>
              <w:jc w:val="center"/>
            </w:pPr>
            <w:r>
              <w:rPr>
                <w:rFonts w:ascii="Aptos" w:hAnsi="Aptos"/>
                <w:b w:val="0"/>
                <w:i w:val="0"/>
                <w:color w:val="000000"/>
                <w:sz w:val="24"/>
              </w:rPr>
              <w:t>☐</w:t>
            </w:r>
          </w:p>
        </w:tc>
        <w:tc>
          <w:tcPr>
            <w:tcW w:type="dxa" w:w="7315"/>
            <w:shd w:fill="EEF3F8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  <w:insideH w:val="single" w:sz="5" w:color="D9D9D9"/>
              <w:insideV w:val="single" w:sz="5" w:color="D9D9D9"/>
            </w:tcBorders>
            <w:tcMar>
              <w:top w:w="95" w:type="dxa"/>
              <w:start w:w="110" w:type="dxa"/>
              <w:bottom w:w="95" w:type="dxa"/>
              <w:end w:w="110" w:type="dxa"/>
            </w:tcMar>
            <w:vAlign w:val="center"/>
          </w:tcPr>
          <w:p>
            <w:pPr>
              <w:spacing w:line="360" w:lineRule="auto"/>
            </w:pPr>
            <w:r>
              <w:rPr>
                <w:rFonts w:ascii="Aptos" w:hAnsi="Aptos"/>
                <w:b w:val="0"/>
                <w:i w:val="0"/>
                <w:color w:val="000000"/>
                <w:sz w:val="22"/>
              </w:rPr>
              <w:t>Identifier les contrats à reprendre, renégocier ou résilier</w:t>
            </w:r>
          </w:p>
        </w:tc>
        <w:tc>
          <w:tcPr>
            <w:tcW w:type="dxa" w:w="2131"/>
            <w:shd w:fill="EEF3F8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  <w:insideH w:val="single" w:sz="5" w:color="D9D9D9"/>
              <w:insideV w:val="single" w:sz="5" w:color="D9D9D9"/>
            </w:tcBorders>
            <w:tcMar>
              <w:top w:w="95" w:type="dxa"/>
              <w:start w:w="110" w:type="dxa"/>
              <w:bottom w:w="95" w:type="dxa"/>
              <w:end w:w="110" w:type="dxa"/>
            </w:tcMar>
            <w:vAlign w:val="center"/>
          </w:tcPr>
          <w:p>
            <w:pPr>
              <w:spacing w:line="360" w:lineRule="auto"/>
              <w:jc w:val="center"/>
            </w:pPr>
            <w:r>
              <w:rPr>
                <w:rFonts w:ascii="Aptos" w:hAnsi="Aptos"/>
                <w:b w:val="0"/>
                <w:i w:val="0"/>
                <w:color w:val="000000"/>
                <w:sz w:val="22"/>
              </w:rPr>
            </w:r>
          </w:p>
        </w:tc>
      </w:tr>
      <w:tr>
        <w:tc>
          <w:tcPr>
            <w:tcW w:type="dxa" w:w="691"/>
            <w:shd w:fill="FFFFFF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  <w:insideH w:val="single" w:sz="5" w:color="D9D9D9"/>
              <w:insideV w:val="single" w:sz="5" w:color="D9D9D9"/>
            </w:tcBorders>
            <w:tcMar>
              <w:top w:w="95" w:type="dxa"/>
              <w:start w:w="110" w:type="dxa"/>
              <w:bottom w:w="95" w:type="dxa"/>
              <w:end w:w="110" w:type="dxa"/>
            </w:tcMar>
            <w:vAlign w:val="center"/>
          </w:tcPr>
          <w:p>
            <w:pPr>
              <w:spacing w:line="360" w:lineRule="auto"/>
              <w:jc w:val="center"/>
            </w:pPr>
            <w:r>
              <w:rPr>
                <w:rFonts w:ascii="Aptos" w:hAnsi="Aptos"/>
                <w:b w:val="0"/>
                <w:i w:val="0"/>
                <w:color w:val="000000"/>
                <w:sz w:val="24"/>
              </w:rPr>
              <w:t>☐</w:t>
            </w:r>
          </w:p>
        </w:tc>
        <w:tc>
          <w:tcPr>
            <w:tcW w:type="dxa" w:w="7315"/>
            <w:shd w:fill="FFFFFF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  <w:insideH w:val="single" w:sz="5" w:color="D9D9D9"/>
              <w:insideV w:val="single" w:sz="5" w:color="D9D9D9"/>
            </w:tcBorders>
            <w:tcMar>
              <w:top w:w="95" w:type="dxa"/>
              <w:start w:w="110" w:type="dxa"/>
              <w:bottom w:w="95" w:type="dxa"/>
              <w:end w:w="110" w:type="dxa"/>
            </w:tcMar>
            <w:vAlign w:val="center"/>
          </w:tcPr>
          <w:p>
            <w:pPr>
              <w:spacing w:line="360" w:lineRule="auto"/>
            </w:pPr>
            <w:r>
              <w:rPr>
                <w:rFonts w:ascii="Aptos" w:hAnsi="Aptos"/>
                <w:b w:val="0"/>
                <w:i w:val="0"/>
                <w:color w:val="000000"/>
                <w:sz w:val="22"/>
              </w:rPr>
              <w:t>Lister les conditions suspensives nécessaires avant engagement</w:t>
            </w:r>
          </w:p>
        </w:tc>
        <w:tc>
          <w:tcPr>
            <w:tcW w:type="dxa" w:w="2131"/>
            <w:shd w:fill="FFFFFF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  <w:insideH w:val="single" w:sz="5" w:color="D9D9D9"/>
              <w:insideV w:val="single" w:sz="5" w:color="D9D9D9"/>
            </w:tcBorders>
            <w:tcMar>
              <w:top w:w="95" w:type="dxa"/>
              <w:start w:w="110" w:type="dxa"/>
              <w:bottom w:w="95" w:type="dxa"/>
              <w:end w:w="110" w:type="dxa"/>
            </w:tcMar>
            <w:vAlign w:val="center"/>
          </w:tcPr>
          <w:p>
            <w:pPr>
              <w:spacing w:line="360" w:lineRule="auto"/>
              <w:jc w:val="center"/>
            </w:pPr>
            <w:r>
              <w:rPr>
                <w:rFonts w:ascii="Aptos" w:hAnsi="Aptos"/>
                <w:b w:val="0"/>
                <w:i w:val="0"/>
                <w:color w:val="000000"/>
                <w:sz w:val="22"/>
              </w:rPr>
            </w:r>
          </w:p>
        </w:tc>
      </w:tr>
    </w:tbl>
    <w:p>
      <w:r>
        <w:br w:type="page"/>
      </w:r>
    </w:p>
    <w:p>
      <w:pPr>
        <w:pStyle w:val="Heading1"/>
      </w:pPr>
      <w:r>
        <w:t>Synthèse de la visite</w:t>
      </w:r>
    </w:p>
    <w:p>
      <w:pPr>
        <w:pStyle w:val="Heading2"/>
      </w:pPr>
      <w:r>
        <w:t>Points favorables</w:t>
      </w:r>
    </w:p>
    <w:p>
      <w:r>
        <w:t>________________________________________________________________________________</w:t>
      </w:r>
    </w:p>
    <w:p>
      <w:r>
        <w:t>________________________________________________________________________________</w:t>
      </w:r>
    </w:p>
    <w:p>
      <w:r>
        <w:t>________________________________________________________________________________</w:t>
      </w:r>
    </w:p>
    <w:p>
      <w:r>
        <w:t>________________________________________________________________________________</w:t>
      </w:r>
    </w:p>
    <w:p>
      <w:pPr>
        <w:pStyle w:val="Heading2"/>
      </w:pPr>
      <w:r>
        <w:t>Risques ou informations manquantes</w:t>
      </w:r>
    </w:p>
    <w:p>
      <w:r>
        <w:t>________________________________________________________________________________</w:t>
      </w:r>
    </w:p>
    <w:p>
      <w:r>
        <w:t>________________________________________________________________________________</w:t>
      </w:r>
    </w:p>
    <w:p>
      <w:r>
        <w:t>________________________________________________________________________________</w:t>
      </w:r>
    </w:p>
    <w:p>
      <w:r>
        <w:t>________________________________________________________________________________</w:t>
      </w:r>
    </w:p>
    <w:p>
      <w:pPr>
        <w:pStyle w:val="Heading2"/>
      </w:pPr>
      <w:r>
        <w:t>Décision avant la prochaine étape</w:t>
      </w:r>
    </w:p>
    <w:p>
      <w:r>
        <w:t>☐ Poursuivre l’analyse     ☐ Demander des informations complémentaires     ☐ Abandonner le dossier</w:t>
      </w:r>
    </w:p>
    <w:p>
      <w:r>
        <w:t>Documents ou avis à obtenir : _________________________________________________________________</w:t>
      </w:r>
    </w:p>
    <w:p>
      <w:r>
        <w:t>Responsable : ________________________________ Échéance : _____________________________________</w:t>
      </w:r>
    </w:p>
    <w:sectPr w:rsidR="00FC693F" w:rsidRPr="0006063C" w:rsidSect="00034616">
      <w:footerReference w:type="default" r:id="rId10"/>
      <w:pgSz w:w="12240" w:h="15840"/>
      <w:pgMar w:top="864" w:right="979" w:bottom="893" w:left="979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Aptos" w:hAnsi="Aptos"/>
        <w:b w:val="0"/>
        <w:i w:val="0"/>
        <w:color w:val="5A6470"/>
        <w:sz w:val="16"/>
      </w:rPr>
      <w:t>La Boîte à Outils du Restaurateur   •   boiteaoutilsrestaurateur.fr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 w:line="259" w:lineRule="auto"/>
    </w:pPr>
    <w:rPr>
      <w:rFonts w:ascii="Aptos" w:hAnsi="Aptos"/>
      <w:color w:val="000000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80" w:after="100"/>
      <w:outlineLvl w:val="0"/>
    </w:pPr>
    <w:rPr>
      <w:rFonts w:asciiTheme="majorHAnsi" w:eastAsiaTheme="majorEastAsia" w:hAnsiTheme="majorHAnsi" w:cstheme="majorBidi" w:ascii="Aptos Display" w:hAnsi="Aptos Display"/>
      <w:b/>
      <w:bCs/>
      <w:color w:val="000000"/>
      <w:sz w:val="36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80" w:after="100"/>
      <w:outlineLvl w:val="1"/>
    </w:pPr>
    <w:rPr>
      <w:rFonts w:asciiTheme="majorHAnsi" w:eastAsiaTheme="majorEastAsia" w:hAnsiTheme="majorHAnsi" w:cstheme="majorBidi" w:ascii="Aptos Display" w:hAnsi="Aptos Display"/>
      <w:b/>
      <w:bCs/>
      <w:color w:val="000000"/>
      <w:sz w:val="25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spacing w:after="100" w:line="240" w:lineRule="auto" w:before="180"/>
      <w:contextualSpacing/>
    </w:pPr>
    <w:rPr>
      <w:rFonts w:asciiTheme="majorHAnsi" w:eastAsiaTheme="majorEastAsia" w:hAnsiTheme="majorHAnsi" w:cstheme="majorBidi" w:ascii="Aptos Display" w:hAnsi="Aptos Display"/>
      <w:b/>
      <w:color w:val="000000"/>
      <w:spacing w:val="5"/>
      <w:kern w:val="28"/>
      <w:sz w:val="5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Checklist de visite avant la reprise d un restaurant</dc:title>
  <dc:subject/>
  <dc:creator>La Boîte à Outils du Restaurateur</dc:creator>
  <cp:keywords/>
  <dc:description>Édition 2026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